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8FE9" w14:textId="32A4ADFA" w:rsidR="00F61BB4" w:rsidRDefault="00F61BB4" w:rsidP="002B1360">
      <w:pPr>
        <w:spacing w:after="0"/>
        <w:ind w:left="96"/>
      </w:pPr>
    </w:p>
    <w:p w14:paraId="20ADA727" w14:textId="77777777" w:rsidR="00F61BB4" w:rsidRDefault="0029551D">
      <w:pPr>
        <w:pStyle w:val="Heading4"/>
        <w:tabs>
          <w:tab w:val="center" w:pos="1548"/>
        </w:tabs>
        <w:ind w:left="0" w:right="0" w:firstLine="0"/>
      </w:pPr>
      <w:r>
        <w:t xml:space="preserve">4.1 </w:t>
      </w:r>
      <w:r>
        <w:tab/>
        <w:t>Identify Function</w:t>
      </w:r>
      <w:r w:rsidR="00D16F22">
        <w:t>.</w:t>
      </w:r>
      <w:r>
        <w:t xml:space="preserve"> </w:t>
      </w:r>
    </w:p>
    <w:p w14:paraId="76AD2C5E" w14:textId="0735EC72" w:rsidR="00F61BB4" w:rsidRDefault="4F45F409" w:rsidP="2D9AAC23">
      <w:pPr>
        <w:spacing w:after="0"/>
        <w:ind w:left="96"/>
      </w:pPr>
      <w:r>
        <w:t xml:space="preserve">The Identify Function is foundational to the risk assessment process. It is highly recommended that </w:t>
      </w:r>
      <w:r w:rsidR="28EDDDC0">
        <w:t xml:space="preserve">risk management practitioners </w:t>
      </w:r>
      <w:r>
        <w:t xml:space="preserve">start with the Identify Function. </w:t>
      </w:r>
      <w:r w:rsidR="28EDDDC0">
        <w:t xml:space="preserve"> </w:t>
      </w:r>
      <w:r>
        <w:t>Consideration of the organization’s mission and business objectives, threat environment, assets, and vulnerabilities will have a significant influence on the overall risk</w:t>
      </w:r>
      <w:r w:rsidR="28EDDDC0">
        <w:t xml:space="preserve"> and will directly impact the</w:t>
      </w:r>
      <w:r>
        <w:t xml:space="preserve"> other four CSF Functions (i.e., Protect, Detect, Respond, Recover).   </w:t>
      </w:r>
    </w:p>
    <w:p w14:paraId="6CC974AC" w14:textId="4375D7D2" w:rsidR="00F61BB4" w:rsidRDefault="00F61BB4" w:rsidP="2D9AAC23">
      <w:pPr>
        <w:spacing w:after="0"/>
        <w:ind w:left="96"/>
      </w:pPr>
    </w:p>
    <w:p w14:paraId="5B82987D" w14:textId="49207402" w:rsidR="00F61BB4" w:rsidRDefault="4F45F409" w:rsidP="2D9AAC23">
      <w:pPr>
        <w:spacing w:after="0"/>
        <w:ind w:left="96"/>
      </w:pPr>
      <w:r>
        <w:t xml:space="preserve">The objectives of the Identify Function include:  </w:t>
      </w:r>
    </w:p>
    <w:p w14:paraId="3C20E946" w14:textId="572BA0A5" w:rsidR="00F61BB4" w:rsidRDefault="0029551D">
      <w:pPr>
        <w:numPr>
          <w:ilvl w:val="0"/>
          <w:numId w:val="13"/>
        </w:numPr>
        <w:spacing w:after="11"/>
        <w:ind w:hanging="360"/>
      </w:pPr>
      <w:r>
        <w:t xml:space="preserve">Identify the business or operational environment and organization’s </w:t>
      </w:r>
      <w:r w:rsidR="007C6C82">
        <w:t>purpose.</w:t>
      </w:r>
      <w:r>
        <w:t xml:space="preserve"> </w:t>
      </w:r>
    </w:p>
    <w:p w14:paraId="55A1F18E" w14:textId="12EA5CA7" w:rsidR="00F61BB4" w:rsidRDefault="4F45F409">
      <w:pPr>
        <w:numPr>
          <w:ilvl w:val="0"/>
          <w:numId w:val="13"/>
        </w:numPr>
        <w:spacing w:after="11"/>
        <w:ind w:hanging="360"/>
      </w:pPr>
      <w:r>
        <w:t xml:space="preserve">Identify all assets, including </w:t>
      </w:r>
      <w:r w:rsidR="5B49C84B">
        <w:t xml:space="preserve">hardware, </w:t>
      </w:r>
      <w:proofErr w:type="gramStart"/>
      <w:r w:rsidR="5B49C84B">
        <w:t>software</w:t>
      </w:r>
      <w:proofErr w:type="gramEnd"/>
      <w:r w:rsidR="5B49C84B">
        <w:t xml:space="preserve"> and personnel</w:t>
      </w:r>
      <w:r w:rsidR="28EDDDC0">
        <w:t>.</w:t>
      </w:r>
      <w:r>
        <w:t xml:space="preserve"> </w:t>
      </w:r>
    </w:p>
    <w:p w14:paraId="40BCA73B" w14:textId="52944F17" w:rsidR="00F61BB4" w:rsidRDefault="4F45F409">
      <w:pPr>
        <w:numPr>
          <w:ilvl w:val="0"/>
          <w:numId w:val="13"/>
        </w:numPr>
        <w:spacing w:after="11"/>
        <w:ind w:hanging="360"/>
      </w:pPr>
      <w:r>
        <w:t xml:space="preserve">Identify sources and infrastructure that provide </w:t>
      </w:r>
      <w:r w:rsidR="63E99288">
        <w:t>SOC functionality</w:t>
      </w:r>
      <w:r>
        <w:t xml:space="preserve">; and </w:t>
      </w:r>
    </w:p>
    <w:p w14:paraId="206869B0" w14:textId="77777777" w:rsidR="00F61BB4" w:rsidRDefault="0029551D">
      <w:pPr>
        <w:numPr>
          <w:ilvl w:val="0"/>
          <w:numId w:val="13"/>
        </w:numPr>
        <w:ind w:hanging="360"/>
      </w:pPr>
      <w:r>
        <w:t xml:space="preserve">Identify the vulnerabilities, threats, and impacts should the threat be realized in order to assess the risk. </w:t>
      </w:r>
    </w:p>
    <w:p w14:paraId="60AB43F3" w14:textId="562DFED9" w:rsidR="00F61BB4" w:rsidRDefault="4F45F409">
      <w:pPr>
        <w:ind w:left="96"/>
      </w:pPr>
      <w:r>
        <w:t xml:space="preserve">The Identify Function within the Cybersecurity Framework defines six Categories, five of which have at least one Subcategory that applies to </w:t>
      </w:r>
      <w:r w:rsidR="082D4565">
        <w:t xml:space="preserve">SOC </w:t>
      </w:r>
      <w:r>
        <w:t xml:space="preserve">to varying degrees, as summarized in Sections 4.1.1 through 4.1.5. </w:t>
      </w:r>
    </w:p>
    <w:p w14:paraId="1BD170DE" w14:textId="1474A96A" w:rsidR="00280415" w:rsidRDefault="00280415" w:rsidP="00280415">
      <w:pPr>
        <w:pStyle w:val="Heading5"/>
        <w:ind w:left="96" w:right="0"/>
      </w:pPr>
      <w:r>
        <w:t xml:space="preserve">4.1.1 Asset Management Category </w:t>
      </w:r>
    </w:p>
    <w:p w14:paraId="4CE3A25B" w14:textId="77777777" w:rsidR="00280415" w:rsidRDefault="00280415" w:rsidP="00280415">
      <w:pPr>
        <w:ind w:left="96"/>
      </w:pPr>
      <w:r>
        <w:t xml:space="preserve">The data, personnel, devices, systems, and facilities that enable the organization to achieve its business objectives are identified and managed in a manner that is consistent with their importance to organizational objectives and the organization’s risk strategy. </w:t>
      </w:r>
    </w:p>
    <w:p w14:paraId="2E9ECD96" w14:textId="6D33CE38" w:rsidR="00F61BB4" w:rsidRDefault="00280415" w:rsidP="45AF0B48">
      <w:pPr>
        <w:ind w:left="96"/>
      </w:pPr>
      <w:r>
        <w:t xml:space="preserve">There are six Subcategories within Asset Management, four of which apply to the SOC. </w:t>
      </w:r>
    </w:p>
    <w:tbl>
      <w:tblPr>
        <w:tblStyle w:val="ListTable4-Accent5"/>
        <w:tblW w:w="0" w:type="auto"/>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785"/>
        <w:gridCol w:w="6660"/>
        <w:gridCol w:w="3594"/>
      </w:tblGrid>
      <w:tr w:rsidR="0054579D" w14:paraId="7570279C" w14:textId="77777777" w:rsidTr="76641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9" w:type="dxa"/>
            <w:gridSpan w:val="3"/>
            <w:shd w:val="clear" w:color="auto" w:fill="0066FF"/>
          </w:tcPr>
          <w:p w14:paraId="3CCF3D51" w14:textId="0C27C912" w:rsidR="0054579D" w:rsidRPr="0054579D" w:rsidRDefault="0054579D" w:rsidP="00E8598D">
            <w:pPr>
              <w:ind w:left="0" w:firstLine="0"/>
              <w:rPr>
                <w:color w:val="FFFFFF" w:themeColor="background1"/>
              </w:rPr>
            </w:pPr>
            <w:r>
              <w:rPr>
                <w:color w:val="FFFFFF" w:themeColor="background1"/>
              </w:rPr>
              <w:lastRenderedPageBreak/>
              <w:t>Identify:  Asset Management Category</w:t>
            </w:r>
          </w:p>
        </w:tc>
      </w:tr>
      <w:tr w:rsidR="0054579D" w14:paraId="42B207B3" w14:textId="77777777" w:rsidTr="76641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left w:val="none" w:sz="0" w:space="0" w:color="auto"/>
              <w:bottom w:val="none" w:sz="0" w:space="0" w:color="auto"/>
            </w:tcBorders>
            <w:shd w:val="clear" w:color="auto" w:fill="0066FF"/>
          </w:tcPr>
          <w:p w14:paraId="2C38AEA0" w14:textId="3FEEB01F" w:rsidR="0054579D" w:rsidRPr="0054579D" w:rsidRDefault="0054579D" w:rsidP="00E8598D">
            <w:pPr>
              <w:ind w:left="0" w:firstLine="0"/>
              <w:rPr>
                <w:color w:val="FFFFFF" w:themeColor="background1"/>
              </w:rPr>
            </w:pPr>
            <w:r w:rsidRPr="0054579D">
              <w:rPr>
                <w:color w:val="FFFFFF" w:themeColor="background1"/>
              </w:rPr>
              <w:t>Subcategory</w:t>
            </w:r>
          </w:p>
        </w:tc>
        <w:tc>
          <w:tcPr>
            <w:tcW w:w="6660" w:type="dxa"/>
            <w:tcBorders>
              <w:top w:val="none" w:sz="0" w:space="0" w:color="auto"/>
              <w:bottom w:val="none" w:sz="0" w:space="0" w:color="auto"/>
            </w:tcBorders>
            <w:shd w:val="clear" w:color="auto" w:fill="0066FF"/>
          </w:tcPr>
          <w:p w14:paraId="158FEDF2" w14:textId="1EBBC9C8" w:rsidR="0054579D" w:rsidRPr="0054579D" w:rsidRDefault="0054579D" w:rsidP="00E8598D">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54579D">
              <w:rPr>
                <w:color w:val="FFFFFF" w:themeColor="background1"/>
              </w:rPr>
              <w:t>Applicability to SOC</w:t>
            </w:r>
          </w:p>
        </w:tc>
        <w:tc>
          <w:tcPr>
            <w:tcW w:w="3594" w:type="dxa"/>
            <w:tcBorders>
              <w:top w:val="none" w:sz="0" w:space="0" w:color="auto"/>
              <w:bottom w:val="none" w:sz="0" w:space="0" w:color="auto"/>
              <w:right w:val="none" w:sz="0" w:space="0" w:color="auto"/>
            </w:tcBorders>
            <w:shd w:val="clear" w:color="auto" w:fill="0066FF"/>
          </w:tcPr>
          <w:p w14:paraId="4DA80AC5" w14:textId="38E2A172" w:rsidR="0054579D" w:rsidRPr="0054579D" w:rsidRDefault="0054579D" w:rsidP="00E8598D">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54579D">
              <w:rPr>
                <w:color w:val="FFFFFF" w:themeColor="background1"/>
              </w:rPr>
              <w:t>References</w:t>
            </w:r>
          </w:p>
        </w:tc>
      </w:tr>
      <w:tr w:rsidR="0054579D" w14:paraId="7FFEF799" w14:textId="77777777" w:rsidTr="00B069D0">
        <w:trPr>
          <w:cnfStyle w:val="000000100000" w:firstRow="0" w:lastRow="0" w:firstColumn="0" w:lastColumn="0" w:oddVBand="0" w:evenVBand="0" w:oddHBand="1" w:evenHBand="0" w:firstRowFirstColumn="0" w:firstRowLastColumn="0" w:lastRowFirstColumn="0" w:lastRowLastColumn="0"/>
          <w:trHeight w:val="1874"/>
        </w:trPr>
        <w:tc>
          <w:tcPr>
            <w:cnfStyle w:val="001000000000" w:firstRow="0" w:lastRow="0" w:firstColumn="1" w:lastColumn="0" w:oddVBand="0" w:evenVBand="0" w:oddHBand="0" w:evenHBand="0" w:firstRowFirstColumn="0" w:firstRowLastColumn="0" w:lastRowFirstColumn="0" w:lastRowLastColumn="0"/>
            <w:tcW w:w="2785" w:type="dxa"/>
          </w:tcPr>
          <w:p w14:paraId="42DE3997" w14:textId="221BD19B" w:rsidR="0054579D" w:rsidRPr="00A32CC4" w:rsidRDefault="00A32CC4" w:rsidP="00E8598D">
            <w:pPr>
              <w:ind w:left="0" w:firstLine="0"/>
            </w:pPr>
            <w:r w:rsidRPr="00A32CC4">
              <w:t>ID.AM-1: Physical devices and systems within the organization are inventoried.</w:t>
            </w:r>
          </w:p>
        </w:tc>
        <w:tc>
          <w:tcPr>
            <w:tcW w:w="6660" w:type="dxa"/>
          </w:tcPr>
          <w:p w14:paraId="62542E58" w14:textId="4C4194CF" w:rsidR="00A32CC4" w:rsidRDefault="00A32CC4" w:rsidP="00E8598D">
            <w:pPr>
              <w:ind w:left="0" w:firstLine="0"/>
              <w:cnfStyle w:val="000000100000" w:firstRow="0" w:lastRow="0" w:firstColumn="0" w:lastColumn="0" w:oddVBand="0" w:evenVBand="0" w:oddHBand="1" w:evenHBand="0" w:firstRowFirstColumn="0" w:firstRowLastColumn="0" w:lastRowFirstColumn="0" w:lastRowLastColumn="0"/>
            </w:pPr>
            <w:r w:rsidRPr="00A32CC4">
              <w:t xml:space="preserve">Document and maintain an inventory of the components that reflect the current system. Consider incorporating a configuration management tool that documents the physical location of all physical components and verify with physical inspections. During physical inspections, identify equipment and its physical interfaces.  </w:t>
            </w:r>
          </w:p>
        </w:tc>
        <w:tc>
          <w:tcPr>
            <w:tcW w:w="3594" w:type="dxa"/>
          </w:tcPr>
          <w:p w14:paraId="0184FF5A" w14:textId="5BE29368" w:rsidR="0054579D" w:rsidRDefault="4B3C1255" w:rsidP="005E475E">
            <w:pPr>
              <w:spacing w:line="257" w:lineRule="auto"/>
              <w:ind w:left="0" w:firstLine="0"/>
              <w:cnfStyle w:val="000000100000" w:firstRow="0" w:lastRow="0" w:firstColumn="0" w:lastColumn="0" w:oddVBand="0" w:evenVBand="0" w:oddHBand="1" w:evenHBand="0" w:firstRowFirstColumn="0" w:firstRowLastColumn="0" w:lastRowFirstColumn="0" w:lastRowLastColumn="0"/>
            </w:pPr>
            <w:r w:rsidRPr="2D9AAC23">
              <w:rPr>
                <w:b/>
                <w:bCs/>
                <w:color w:val="000000" w:themeColor="text1"/>
                <w:szCs w:val="24"/>
              </w:rPr>
              <w:t xml:space="preserve">NIST SP 800-53 Rev. 5 </w:t>
            </w:r>
            <w:r w:rsidRPr="2D9AAC23">
              <w:rPr>
                <w:color w:val="000000" w:themeColor="text1"/>
                <w:szCs w:val="24"/>
              </w:rPr>
              <w:t xml:space="preserve">CM-8, CM-9 PM-5 </w:t>
            </w:r>
          </w:p>
          <w:p w14:paraId="6A860976" w14:textId="30962315" w:rsidR="0054579D" w:rsidRDefault="4B3C1255" w:rsidP="2D9AAC23">
            <w:pPr>
              <w:spacing w:line="257" w:lineRule="auto"/>
              <w:cnfStyle w:val="000000100000" w:firstRow="0" w:lastRow="0" w:firstColumn="0" w:lastColumn="0" w:oddVBand="0" w:evenVBand="0" w:oddHBand="1" w:evenHBand="0" w:firstRowFirstColumn="0" w:firstRowLastColumn="0" w:lastRowFirstColumn="0" w:lastRowLastColumn="0"/>
              <w:rPr>
                <w:b/>
                <w:bCs/>
                <w:color w:val="000000" w:themeColor="text1"/>
                <w:szCs w:val="24"/>
                <w:highlight w:val="yellow"/>
              </w:rPr>
            </w:pPr>
            <w:commentRangeStart w:id="0"/>
            <w:r w:rsidRPr="2D9AAC23">
              <w:rPr>
                <w:b/>
                <w:bCs/>
                <w:color w:val="000000" w:themeColor="text1"/>
                <w:szCs w:val="24"/>
                <w:highlight w:val="yellow"/>
              </w:rPr>
              <w:t xml:space="preserve">NIST SP 800-160 Rev. 1 </w:t>
            </w:r>
            <w:r w:rsidRPr="2D9AAC23">
              <w:rPr>
                <w:color w:val="000000" w:themeColor="text1"/>
                <w:szCs w:val="24"/>
                <w:highlight w:val="yellow"/>
              </w:rPr>
              <w:t>2.3</w:t>
            </w:r>
            <w:commentRangeEnd w:id="0"/>
            <w:r w:rsidR="0054579D">
              <w:rPr>
                <w:rStyle w:val="CommentReference"/>
              </w:rPr>
              <w:commentReference w:id="0"/>
            </w:r>
            <w:r w:rsidRPr="2D9AAC23">
              <w:rPr>
                <w:b/>
                <w:bCs/>
                <w:color w:val="000000" w:themeColor="text1"/>
                <w:szCs w:val="24"/>
              </w:rPr>
              <w:t xml:space="preserve"> </w:t>
            </w:r>
          </w:p>
          <w:p w14:paraId="5282D3AA" w14:textId="3F4A7621" w:rsidR="0054579D" w:rsidRDefault="0054579D" w:rsidP="2D9AAC23">
            <w:pPr>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r w:rsidR="0054579D" w14:paraId="78E75028" w14:textId="77777777" w:rsidTr="766416E5">
        <w:tc>
          <w:tcPr>
            <w:cnfStyle w:val="001000000000" w:firstRow="0" w:lastRow="0" w:firstColumn="1" w:lastColumn="0" w:oddVBand="0" w:evenVBand="0" w:oddHBand="0" w:evenHBand="0" w:firstRowFirstColumn="0" w:firstRowLastColumn="0" w:lastRowFirstColumn="0" w:lastRowLastColumn="0"/>
            <w:tcW w:w="2785" w:type="dxa"/>
          </w:tcPr>
          <w:p w14:paraId="4CF26E93" w14:textId="4E8FB730" w:rsidR="0054579D" w:rsidRDefault="00B40C26" w:rsidP="00E8598D">
            <w:pPr>
              <w:ind w:left="0" w:firstLine="0"/>
            </w:pPr>
            <w:r w:rsidRPr="00B40C26">
              <w:t>ID.AM-2: Software platforms and applications within the organization are inventoried</w:t>
            </w:r>
            <w:r>
              <w:t>.</w:t>
            </w:r>
          </w:p>
        </w:tc>
        <w:tc>
          <w:tcPr>
            <w:tcW w:w="6660" w:type="dxa"/>
          </w:tcPr>
          <w:p w14:paraId="0B88EC13" w14:textId="3C8D5451" w:rsidR="0054579D" w:rsidRDefault="0048138A" w:rsidP="00E8598D">
            <w:pPr>
              <w:ind w:left="0" w:firstLine="0"/>
              <w:cnfStyle w:val="000000000000" w:firstRow="0" w:lastRow="0" w:firstColumn="0" w:lastColumn="0" w:oddVBand="0" w:evenVBand="0" w:oddHBand="0" w:evenHBand="0" w:firstRowFirstColumn="0" w:firstRowLastColumn="0" w:lastRowFirstColumn="0" w:lastRowLastColumn="0"/>
            </w:pPr>
            <w:r w:rsidRPr="0048138A">
              <w:t>Document and maintain an inventory of software components, such as software license information, software version numbers for applications, software, and operating systems. System software inventory is reviewed and updated as defined by the organization.</w:t>
            </w:r>
          </w:p>
        </w:tc>
        <w:tc>
          <w:tcPr>
            <w:tcW w:w="3594" w:type="dxa"/>
          </w:tcPr>
          <w:p w14:paraId="2BF1E3F3" w14:textId="59CC0C9D" w:rsidR="0054579D" w:rsidRDefault="626DDE8B" w:rsidP="766416E5">
            <w:pPr>
              <w:spacing w:line="257" w:lineRule="auto"/>
              <w:cnfStyle w:val="000000000000" w:firstRow="0" w:lastRow="0" w:firstColumn="0" w:lastColumn="0" w:oddVBand="0" w:evenVBand="0" w:oddHBand="0" w:evenHBand="0" w:firstRowFirstColumn="0" w:firstRowLastColumn="0" w:lastRowFirstColumn="0" w:lastRowLastColumn="0"/>
            </w:pPr>
            <w:r w:rsidRPr="766416E5">
              <w:rPr>
                <w:b/>
                <w:bCs/>
                <w:color w:val="000000" w:themeColor="text1"/>
                <w:szCs w:val="24"/>
              </w:rPr>
              <w:t xml:space="preserve">NIST SP 800-53 Rev. 5 </w:t>
            </w:r>
            <w:r w:rsidRPr="766416E5">
              <w:rPr>
                <w:color w:val="000000" w:themeColor="text1"/>
                <w:szCs w:val="24"/>
              </w:rPr>
              <w:t>CM-8, PM-5</w:t>
            </w:r>
          </w:p>
          <w:p w14:paraId="1ED5533F" w14:textId="0419DBCA" w:rsidR="0054579D" w:rsidRDefault="0054579D" w:rsidP="2D9AAC23">
            <w:pPr>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54579D" w14:paraId="0D62CFEE" w14:textId="77777777" w:rsidTr="76641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B5DEC05" w14:textId="5057766E" w:rsidR="0054579D" w:rsidRDefault="0048138A" w:rsidP="00E8598D">
            <w:pPr>
              <w:ind w:left="0" w:firstLine="0"/>
            </w:pPr>
            <w:r w:rsidRPr="0048138A">
              <w:t>ID.AM-3: Organizational communication and data flows are mapped</w:t>
            </w:r>
            <w:r>
              <w:t>.</w:t>
            </w:r>
          </w:p>
        </w:tc>
        <w:tc>
          <w:tcPr>
            <w:tcW w:w="6660" w:type="dxa"/>
          </w:tcPr>
          <w:p w14:paraId="5245755B" w14:textId="2FB38329" w:rsidR="0048138A" w:rsidRDefault="0048138A" w:rsidP="0048138A">
            <w:pPr>
              <w:ind w:left="0" w:firstLine="0"/>
              <w:cnfStyle w:val="000000100000" w:firstRow="0" w:lastRow="0" w:firstColumn="0" w:lastColumn="0" w:oddVBand="0" w:evenVBand="0" w:oddHBand="1" w:evenHBand="0" w:firstRowFirstColumn="0" w:firstRowLastColumn="0" w:lastRowFirstColumn="0" w:lastRowLastColumn="0"/>
            </w:pPr>
            <w:r>
              <w:t>Identify all connections within and between the systems. All connections and interfaces are documented, authorized, and reviewed.</w:t>
            </w:r>
          </w:p>
          <w:p w14:paraId="1D346086" w14:textId="4DB40A7C" w:rsidR="0054579D" w:rsidRDefault="0048138A" w:rsidP="0048138A">
            <w:pPr>
              <w:ind w:left="0" w:firstLine="0"/>
              <w:cnfStyle w:val="000000100000" w:firstRow="0" w:lastRow="0" w:firstColumn="0" w:lastColumn="0" w:oddVBand="0" w:evenVBand="0" w:oddHBand="1" w:evenHBand="0" w:firstRowFirstColumn="0" w:firstRowLastColumn="0" w:lastRowFirstColumn="0" w:lastRowLastColumn="0"/>
            </w:pPr>
            <w:r>
              <w:t>Connection information may include the physical interface characteristics, logical interface characteristics, data characteristics, ports, protocols, addresses, security requirements, and nature of the connection.</w:t>
            </w:r>
          </w:p>
        </w:tc>
        <w:tc>
          <w:tcPr>
            <w:tcW w:w="3594" w:type="dxa"/>
          </w:tcPr>
          <w:p w14:paraId="6D1F9554" w14:textId="1E60F81D" w:rsidR="0054579D" w:rsidRDefault="7398098D" w:rsidP="766416E5">
            <w:pPr>
              <w:spacing w:line="238" w:lineRule="auto"/>
              <w:cnfStyle w:val="000000100000" w:firstRow="0" w:lastRow="0" w:firstColumn="0" w:lastColumn="0" w:oddVBand="0" w:evenVBand="0" w:oddHBand="1" w:evenHBand="0" w:firstRowFirstColumn="0" w:firstRowLastColumn="0" w:lastRowFirstColumn="0" w:lastRowLastColumn="0"/>
            </w:pPr>
            <w:r w:rsidRPr="766416E5">
              <w:rPr>
                <w:b/>
                <w:bCs/>
                <w:color w:val="000000" w:themeColor="text1"/>
                <w:szCs w:val="24"/>
              </w:rPr>
              <w:t xml:space="preserve">NIST SP 800-53 Rev. 5 </w:t>
            </w:r>
            <w:r w:rsidRPr="766416E5">
              <w:rPr>
                <w:color w:val="000000" w:themeColor="text1"/>
                <w:szCs w:val="24"/>
              </w:rPr>
              <w:t>AC-4, CA-3, CA-9, PL-8, SA-17</w:t>
            </w:r>
          </w:p>
          <w:p w14:paraId="7D67ACF3" w14:textId="7CFE31A0" w:rsidR="0054579D" w:rsidRDefault="7398098D" w:rsidP="766416E5">
            <w:pPr>
              <w:spacing w:line="257" w:lineRule="auto"/>
              <w:cnfStyle w:val="000000100000" w:firstRow="0" w:lastRow="0" w:firstColumn="0" w:lastColumn="0" w:oddVBand="0" w:evenVBand="0" w:oddHBand="1" w:evenHBand="0" w:firstRowFirstColumn="0" w:firstRowLastColumn="0" w:lastRowFirstColumn="0" w:lastRowLastColumn="0"/>
              <w:rPr>
                <w:b/>
                <w:bCs/>
                <w:color w:val="000000" w:themeColor="text1"/>
                <w:szCs w:val="24"/>
              </w:rPr>
            </w:pPr>
            <w:commentRangeStart w:id="1"/>
            <w:r w:rsidRPr="766416E5">
              <w:rPr>
                <w:b/>
                <w:bCs/>
                <w:color w:val="000000" w:themeColor="text1"/>
                <w:szCs w:val="24"/>
              </w:rPr>
              <w:t xml:space="preserve">IEC 61850-90-4 </w:t>
            </w:r>
            <w:r w:rsidRPr="766416E5">
              <w:rPr>
                <w:color w:val="000000" w:themeColor="text1"/>
                <w:szCs w:val="24"/>
              </w:rPr>
              <w:t>10, 14</w:t>
            </w:r>
            <w:commentRangeEnd w:id="1"/>
            <w:r w:rsidR="0054579D">
              <w:rPr>
                <w:rStyle w:val="CommentReference"/>
              </w:rPr>
              <w:commentReference w:id="1"/>
            </w:r>
          </w:p>
        </w:tc>
      </w:tr>
      <w:tr w:rsidR="00A32CC4" w14:paraId="2E36CD4D" w14:textId="77777777" w:rsidTr="766416E5">
        <w:tc>
          <w:tcPr>
            <w:cnfStyle w:val="001000000000" w:firstRow="0" w:lastRow="0" w:firstColumn="1" w:lastColumn="0" w:oddVBand="0" w:evenVBand="0" w:oddHBand="0" w:evenHBand="0" w:firstRowFirstColumn="0" w:firstRowLastColumn="0" w:lastRowFirstColumn="0" w:lastRowLastColumn="0"/>
            <w:tcW w:w="2785" w:type="dxa"/>
          </w:tcPr>
          <w:p w14:paraId="77F1416A" w14:textId="6B4CE34C" w:rsidR="00A32CC4" w:rsidRDefault="0048138A" w:rsidP="00E8598D">
            <w:pPr>
              <w:ind w:left="0" w:firstLine="0"/>
            </w:pPr>
            <w:r w:rsidRPr="0048138A">
              <w:t>ID.AM-4: External information systems are catalogued</w:t>
            </w:r>
          </w:p>
        </w:tc>
        <w:tc>
          <w:tcPr>
            <w:tcW w:w="6660" w:type="dxa"/>
          </w:tcPr>
          <w:p w14:paraId="7021BDD7" w14:textId="36753524" w:rsidR="0048138A" w:rsidRDefault="0048138A" w:rsidP="00E8598D">
            <w:pPr>
              <w:ind w:left="0" w:firstLine="0"/>
              <w:cnfStyle w:val="000000000000" w:firstRow="0" w:lastRow="0" w:firstColumn="0" w:lastColumn="0" w:oddVBand="0" w:evenVBand="0" w:oddHBand="0" w:evenHBand="0" w:firstRowFirstColumn="0" w:firstRowLastColumn="0" w:lastRowFirstColumn="0" w:lastRowLastColumn="0"/>
            </w:pPr>
            <w:r>
              <w:t xml:space="preserve">There may be different </w:t>
            </w:r>
            <w:r w:rsidR="007A4D96">
              <w:t>organizations</w:t>
            </w:r>
            <w:r>
              <w:t xml:space="preserve"> commanding the bus </w:t>
            </w:r>
            <w:r w:rsidR="007A4D96">
              <w:t>and</w:t>
            </w:r>
            <w:r>
              <w:t xml:space="preserve"> the payload, however a command to the payload will be encrypted and tunneled through a bus command and the SOC</w:t>
            </w:r>
            <w:r w:rsidR="007714B4">
              <w:t xml:space="preserve"> controlling the bus simply routes the data</w:t>
            </w:r>
            <w:r w:rsidR="00B069D0">
              <w:t>.</w:t>
            </w:r>
          </w:p>
          <w:p w14:paraId="7D676961" w14:textId="49847C05" w:rsidR="007A4D96" w:rsidRDefault="007714B4" w:rsidP="00E8598D">
            <w:pPr>
              <w:ind w:left="0" w:firstLine="0"/>
              <w:cnfStyle w:val="000000000000" w:firstRow="0" w:lastRow="0" w:firstColumn="0" w:lastColumn="0" w:oddVBand="0" w:evenVBand="0" w:oddHBand="0" w:evenHBand="0" w:firstRowFirstColumn="0" w:firstRowLastColumn="0" w:lastRowFirstColumn="0" w:lastRowLastColumn="0"/>
            </w:pPr>
            <w:r>
              <w:t xml:space="preserve">Normally there will be reach back to the satellite vendor and there </w:t>
            </w:r>
            <w:r w:rsidR="007A4D96">
              <w:t xml:space="preserve">may be limited connections to external databases for space </w:t>
            </w:r>
            <w:r w:rsidR="007A4D96">
              <w:lastRenderedPageBreak/>
              <w:t xml:space="preserve">situational awareness and data archive services, however connections to external information systems are strictly limited.  </w:t>
            </w:r>
          </w:p>
        </w:tc>
        <w:tc>
          <w:tcPr>
            <w:tcW w:w="3594" w:type="dxa"/>
          </w:tcPr>
          <w:p w14:paraId="0342A168" w14:textId="330784B9" w:rsidR="00A32CC4" w:rsidRDefault="53F481F4" w:rsidP="2D9AAC23">
            <w:pPr>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2D9AAC23">
              <w:rPr>
                <w:b/>
                <w:bCs/>
                <w:color w:val="000000" w:themeColor="text1"/>
                <w:szCs w:val="24"/>
              </w:rPr>
              <w:lastRenderedPageBreak/>
              <w:t xml:space="preserve">NIST SP 800-53 Rev. 5 </w:t>
            </w:r>
            <w:r w:rsidRPr="2D9AAC23">
              <w:rPr>
                <w:color w:val="000000" w:themeColor="text1"/>
                <w:szCs w:val="24"/>
              </w:rPr>
              <w:t>AC-20, PM-5, SA9</w:t>
            </w:r>
          </w:p>
        </w:tc>
      </w:tr>
      <w:tr w:rsidR="00A32CC4" w14:paraId="21008A05" w14:textId="77777777" w:rsidTr="76641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B90C9B4" w14:textId="1EC36E1A" w:rsidR="00A32CC4" w:rsidRDefault="003A51FF" w:rsidP="00E8598D">
            <w:pPr>
              <w:ind w:left="0" w:firstLine="0"/>
            </w:pPr>
            <w:r w:rsidRPr="003A51FF">
              <w:t>ID.AM-5: Resources (e.g., hardware, devices, data, time, personnel, and software) are prioritized based on their classification, criticality, and business value</w:t>
            </w:r>
          </w:p>
        </w:tc>
        <w:tc>
          <w:tcPr>
            <w:tcW w:w="6660" w:type="dxa"/>
          </w:tcPr>
          <w:p w14:paraId="7574A525" w14:textId="77777777" w:rsidR="001D6414" w:rsidRDefault="001D6414" w:rsidP="00E8598D">
            <w:pPr>
              <w:ind w:left="0" w:firstLine="0"/>
              <w:cnfStyle w:val="000000100000" w:firstRow="0" w:lastRow="0" w:firstColumn="0" w:lastColumn="0" w:oddVBand="0" w:evenVBand="0" w:oddHBand="1" w:evenHBand="0" w:firstRowFirstColumn="0" w:firstRowLastColumn="0" w:lastRowFirstColumn="0" w:lastRowLastColumn="0"/>
            </w:pPr>
            <w:r w:rsidRPr="001D6414">
              <w:t xml:space="preserve">Identify and prioritize </w:t>
            </w:r>
            <w:r>
              <w:t>ground system</w:t>
            </w:r>
            <w:r w:rsidRPr="001D6414">
              <w:t xml:space="preserve"> components, processors, and functions based on their classification, criticality, and value in the context of meeting </w:t>
            </w:r>
            <w:r>
              <w:t>maintain positive control of the space segment</w:t>
            </w:r>
            <w:r w:rsidRPr="001D6414">
              <w:t xml:space="preserve">. </w:t>
            </w:r>
          </w:p>
          <w:p w14:paraId="213B6B17" w14:textId="56D3D42B" w:rsidR="001D6414" w:rsidRDefault="001D6414" w:rsidP="00E8598D">
            <w:pPr>
              <w:ind w:left="0" w:firstLine="0"/>
              <w:cnfStyle w:val="000000100000" w:firstRow="0" w:lastRow="0" w:firstColumn="0" w:lastColumn="0" w:oddVBand="0" w:evenVBand="0" w:oddHBand="1" w:evenHBand="0" w:firstRowFirstColumn="0" w:firstRowLastColumn="0" w:lastRowFirstColumn="0" w:lastRowLastColumn="0"/>
            </w:pPr>
            <w:r>
              <w:t>Provide adequate staffing with the appropriate training such that support is available in a timely manner (consistent with thresholds defined in the organization’s business plan).</w:t>
            </w:r>
          </w:p>
          <w:p w14:paraId="6C96B78F" w14:textId="16F07168" w:rsidR="00A32CC4" w:rsidRDefault="001D6414" w:rsidP="00E8598D">
            <w:pPr>
              <w:ind w:left="0" w:firstLine="0"/>
              <w:cnfStyle w:val="000000100000" w:firstRow="0" w:lastRow="0" w:firstColumn="0" w:lastColumn="0" w:oddVBand="0" w:evenVBand="0" w:oddHBand="1" w:evenHBand="0" w:firstRowFirstColumn="0" w:firstRowLastColumn="0" w:lastRowFirstColumn="0" w:lastRowLastColumn="0"/>
            </w:pPr>
            <w:r w:rsidRPr="001D6414">
              <w:t xml:space="preserve">Stakeholders are advised to use other functions within the CSF to inform </w:t>
            </w:r>
            <w:r>
              <w:t xml:space="preserve">the </w:t>
            </w:r>
            <w:r w:rsidRPr="001D6414">
              <w:t xml:space="preserve">identification </w:t>
            </w:r>
            <w:r>
              <w:t>and prioritization procedures</w:t>
            </w:r>
            <w:r w:rsidRPr="001D6414">
              <w:t xml:space="preserve">. For example, while testing business continuity procedures, use the findings to identify which resources of the mission were impacted and to what degree, and reprioritize accordingly. </w:t>
            </w:r>
          </w:p>
        </w:tc>
        <w:tc>
          <w:tcPr>
            <w:tcW w:w="3594" w:type="dxa"/>
          </w:tcPr>
          <w:p w14:paraId="0525C4FF" w14:textId="66C35275" w:rsidR="00A32CC4" w:rsidRDefault="1AB4FF41" w:rsidP="00E8598D">
            <w:pPr>
              <w:ind w:left="0" w:firstLine="0"/>
              <w:cnfStyle w:val="000000100000" w:firstRow="0" w:lastRow="0" w:firstColumn="0" w:lastColumn="0" w:oddVBand="0" w:evenVBand="0" w:oddHBand="1" w:evenHBand="0" w:firstRowFirstColumn="0" w:firstRowLastColumn="0" w:lastRowFirstColumn="0" w:lastRowLastColumn="0"/>
            </w:pPr>
            <w:r w:rsidRPr="2D9AAC23">
              <w:rPr>
                <w:b/>
                <w:bCs/>
              </w:rPr>
              <w:t>NIST SP 800-37</w:t>
            </w:r>
            <w:r>
              <w:t xml:space="preserve"> 3 </w:t>
            </w:r>
          </w:p>
          <w:p w14:paraId="6D0CD97D" w14:textId="3BC79B7B" w:rsidR="00A32CC4" w:rsidRDefault="1AB4FF41" w:rsidP="2D9AAC23">
            <w:pPr>
              <w:ind w:left="0" w:firstLine="0"/>
              <w:cnfStyle w:val="000000100000" w:firstRow="0" w:lastRow="0" w:firstColumn="0" w:lastColumn="0" w:oddVBand="0" w:evenVBand="0" w:oddHBand="1" w:evenHBand="0" w:firstRowFirstColumn="0" w:firstRowLastColumn="0" w:lastRowFirstColumn="0" w:lastRowLastColumn="0"/>
            </w:pPr>
            <w:r w:rsidRPr="2D9AAC23">
              <w:rPr>
                <w:b/>
                <w:bCs/>
              </w:rPr>
              <w:t>NIST SP 800-53 Rev. 5</w:t>
            </w:r>
            <w:r>
              <w:t xml:space="preserve"> AC-20, RA-9</w:t>
            </w:r>
          </w:p>
        </w:tc>
      </w:tr>
      <w:tr w:rsidR="00D57348" w14:paraId="22D769B2" w14:textId="77777777" w:rsidTr="766416E5">
        <w:tc>
          <w:tcPr>
            <w:cnfStyle w:val="001000000000" w:firstRow="0" w:lastRow="0" w:firstColumn="1" w:lastColumn="0" w:oddVBand="0" w:evenVBand="0" w:oddHBand="0" w:evenHBand="0" w:firstRowFirstColumn="0" w:firstRowLastColumn="0" w:lastRowFirstColumn="0" w:lastRowLastColumn="0"/>
            <w:tcW w:w="2785" w:type="dxa"/>
          </w:tcPr>
          <w:p w14:paraId="600BC6FA" w14:textId="185F7D0B" w:rsidR="00D57348" w:rsidRDefault="001D6414" w:rsidP="00E8598D">
            <w:pPr>
              <w:ind w:left="0" w:firstLine="0"/>
            </w:pPr>
            <w:r w:rsidRPr="001D6414">
              <w:t>ID.AM-6: Cybersecurity roles and responsibilities for the entire workforce and third-party stakeholders (e.g., suppliers, customers, partners) are established</w:t>
            </w:r>
          </w:p>
        </w:tc>
        <w:tc>
          <w:tcPr>
            <w:tcW w:w="6660" w:type="dxa"/>
          </w:tcPr>
          <w:p w14:paraId="3EDD6027" w14:textId="5D57AD01" w:rsidR="00D57348" w:rsidRDefault="00D9438D" w:rsidP="00E8598D">
            <w:pPr>
              <w:ind w:left="0" w:firstLine="0"/>
              <w:cnfStyle w:val="000000000000" w:firstRow="0" w:lastRow="0" w:firstColumn="0" w:lastColumn="0" w:oddVBand="0" w:evenVBand="0" w:oddHBand="0" w:evenHBand="0" w:firstRowFirstColumn="0" w:firstRowLastColumn="0" w:lastRowFirstColumn="0" w:lastRowLastColumn="0"/>
            </w:pPr>
            <w:r>
              <w:t xml:space="preserve">Third party stakeholder roles </w:t>
            </w:r>
            <w:proofErr w:type="gramStart"/>
            <w:r>
              <w:t>does</w:t>
            </w:r>
            <w:proofErr w:type="gramEnd"/>
            <w:r w:rsidR="001D6414">
              <w:t xml:space="preserve"> not apply to the SOC.  </w:t>
            </w:r>
            <w:r w:rsidR="008A0C8F">
              <w:t>Third party stakeholders and collaborative partners</w:t>
            </w:r>
            <w:r w:rsidR="001D6414">
              <w:t xml:space="preserve"> (such as organizations that are hosting a payload) are cryptographically isolated from each other.  </w:t>
            </w:r>
          </w:p>
        </w:tc>
        <w:tc>
          <w:tcPr>
            <w:tcW w:w="3594" w:type="dxa"/>
          </w:tcPr>
          <w:p w14:paraId="5F988EE7" w14:textId="46C42834" w:rsidR="00720A50" w:rsidRPr="00720A50" w:rsidRDefault="00720A50" w:rsidP="00720A5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20A50">
              <w:rPr>
                <w:rFonts w:ascii="Times New Roman" w:hAnsi="Times New Roman" w:cs="Times New Roman"/>
                <w:b/>
                <w:bCs/>
              </w:rPr>
              <w:t xml:space="preserve">NIST SP 800-53 Rev. 5 </w:t>
            </w:r>
            <w:r w:rsidRPr="00720A50">
              <w:rPr>
                <w:rFonts w:ascii="Times New Roman" w:hAnsi="Times New Roman" w:cs="Times New Roman"/>
              </w:rPr>
              <w:t>CP-2, PS-7, PM-2, PM-29</w:t>
            </w:r>
          </w:p>
          <w:p w14:paraId="4DBE9142" w14:textId="77777777" w:rsidR="00D57348" w:rsidRDefault="00D57348" w:rsidP="00E8598D">
            <w:pPr>
              <w:ind w:left="0" w:firstLine="0"/>
              <w:cnfStyle w:val="000000000000" w:firstRow="0" w:lastRow="0" w:firstColumn="0" w:lastColumn="0" w:oddVBand="0" w:evenVBand="0" w:oddHBand="0" w:evenHBand="0" w:firstRowFirstColumn="0" w:firstRowLastColumn="0" w:lastRowFirstColumn="0" w:lastRowLastColumn="0"/>
            </w:pPr>
          </w:p>
        </w:tc>
      </w:tr>
    </w:tbl>
    <w:p w14:paraId="74C5E027" w14:textId="77777777" w:rsidR="00E600FF" w:rsidRDefault="00E600FF">
      <w:pPr>
        <w:pStyle w:val="Heading5"/>
        <w:ind w:left="-5" w:right="0"/>
      </w:pPr>
    </w:p>
    <w:p w14:paraId="1D41AF83" w14:textId="46E90732" w:rsidR="00F61BB4" w:rsidRDefault="0029551D">
      <w:pPr>
        <w:pStyle w:val="Heading5"/>
        <w:ind w:left="-5" w:right="0"/>
      </w:pPr>
      <w:r>
        <w:t xml:space="preserve">4.1.2 Business Environment Category </w:t>
      </w:r>
    </w:p>
    <w:p w14:paraId="7BF6FB05" w14:textId="6FBA00C4" w:rsidR="00F61BB4" w:rsidRDefault="0029551D">
      <w:pPr>
        <w:spacing w:after="190"/>
        <w:ind w:left="-5"/>
      </w:pPr>
      <w:r>
        <w:t xml:space="preserve">The organization’s mission, objectives, stakeholders, and activities are understood and prioritized. This information is used to inform cybersecurity roles, responsibilities, and risk management decisions. </w:t>
      </w:r>
    </w:p>
    <w:p w14:paraId="4D08E521" w14:textId="005DDA13" w:rsidR="00F61BB4" w:rsidRDefault="0029551D">
      <w:pPr>
        <w:spacing w:after="132"/>
        <w:ind w:left="-5"/>
      </w:pPr>
      <w:r>
        <w:t xml:space="preserve">There are </w:t>
      </w:r>
      <w:r w:rsidR="001B0912">
        <w:t>five</w:t>
      </w:r>
      <w:r>
        <w:t xml:space="preserve"> Subcategories within Business Environment</w:t>
      </w:r>
      <w:r w:rsidR="001B0912">
        <w:t>, four of which</w:t>
      </w:r>
      <w:r>
        <w:t xml:space="preserve"> apply to the </w:t>
      </w:r>
      <w:r w:rsidR="001B0912">
        <w:t>SOC</w:t>
      </w:r>
      <w:r>
        <w:t xml:space="preserve">. </w:t>
      </w:r>
    </w:p>
    <w:tbl>
      <w:tblPr>
        <w:tblStyle w:val="ListTable4-Accent5"/>
        <w:tblW w:w="13039"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696"/>
        <w:gridCol w:w="6705"/>
        <w:gridCol w:w="3638"/>
      </w:tblGrid>
      <w:tr w:rsidR="00C8795B" w14:paraId="3FBAC5C6" w14:textId="77777777" w:rsidTr="76641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9" w:type="dxa"/>
            <w:gridSpan w:val="3"/>
            <w:shd w:val="clear" w:color="auto" w:fill="0066FF"/>
          </w:tcPr>
          <w:p w14:paraId="17A56906" w14:textId="06007EAC" w:rsidR="00C8795B" w:rsidRPr="0054579D" w:rsidRDefault="00C8795B" w:rsidP="009C579A">
            <w:pPr>
              <w:ind w:left="0" w:firstLine="0"/>
              <w:rPr>
                <w:color w:val="FFFFFF" w:themeColor="background1"/>
              </w:rPr>
            </w:pPr>
            <w:r>
              <w:rPr>
                <w:color w:val="FFFFFF" w:themeColor="background1"/>
              </w:rPr>
              <w:t xml:space="preserve">Identify:  </w:t>
            </w:r>
            <w:r w:rsidR="006547D7">
              <w:rPr>
                <w:color w:val="FFFFFF" w:themeColor="background1"/>
              </w:rPr>
              <w:t>Business Environment Category</w:t>
            </w:r>
          </w:p>
        </w:tc>
      </w:tr>
      <w:tr w:rsidR="00F61BB4" w14:paraId="5D790824" w14:textId="77777777" w:rsidTr="76641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6" w:type="dxa"/>
            <w:shd w:val="clear" w:color="auto" w:fill="0066FF"/>
          </w:tcPr>
          <w:p w14:paraId="7B42186A" w14:textId="77777777" w:rsidR="00C8795B" w:rsidRPr="0054579D" w:rsidRDefault="00C8795B" w:rsidP="009C579A">
            <w:pPr>
              <w:ind w:left="0" w:firstLine="0"/>
              <w:rPr>
                <w:color w:val="FFFFFF" w:themeColor="background1"/>
              </w:rPr>
            </w:pPr>
            <w:r w:rsidRPr="0054579D">
              <w:rPr>
                <w:color w:val="FFFFFF" w:themeColor="background1"/>
              </w:rPr>
              <w:t>Subcategory</w:t>
            </w:r>
          </w:p>
        </w:tc>
        <w:tc>
          <w:tcPr>
            <w:tcW w:w="6705" w:type="dxa"/>
            <w:shd w:val="clear" w:color="auto" w:fill="0066FF"/>
          </w:tcPr>
          <w:p w14:paraId="1047B85A" w14:textId="2B3DE75A" w:rsidR="00F61BB4" w:rsidRPr="00243F2E" w:rsidRDefault="0029551D" w:rsidP="00243F2E">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243F2E">
              <w:rPr>
                <w:color w:val="FFFFFF" w:themeColor="background1"/>
              </w:rPr>
              <w:t xml:space="preserve">Applicability to </w:t>
            </w:r>
            <w:r w:rsidR="00C8795B" w:rsidRPr="0054579D">
              <w:rPr>
                <w:color w:val="FFFFFF" w:themeColor="background1"/>
              </w:rPr>
              <w:t>SOC</w:t>
            </w:r>
          </w:p>
        </w:tc>
        <w:tc>
          <w:tcPr>
            <w:tcW w:w="3638" w:type="dxa"/>
            <w:shd w:val="clear" w:color="auto" w:fill="0066FF"/>
          </w:tcPr>
          <w:p w14:paraId="2A78203A" w14:textId="0ECF9691" w:rsidR="00F61BB4" w:rsidRPr="00243F2E" w:rsidRDefault="0029551D" w:rsidP="00243F2E">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243F2E">
              <w:rPr>
                <w:color w:val="FFFFFF" w:themeColor="background1"/>
              </w:rPr>
              <w:t>References</w:t>
            </w:r>
          </w:p>
        </w:tc>
      </w:tr>
      <w:tr w:rsidR="00F61BB4" w14:paraId="314C9B70" w14:textId="77777777" w:rsidTr="76641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5FDC558C" w14:textId="5CC70832" w:rsidR="00F61BB4" w:rsidRDefault="00DF6BF2" w:rsidP="00243F2E">
            <w:pPr>
              <w:ind w:left="0" w:firstLine="0"/>
            </w:pPr>
            <w:r w:rsidRPr="00DF6BF2">
              <w:t>ID.BE-1: The organization’s role in the supply chain is identified and communicated</w:t>
            </w:r>
          </w:p>
        </w:tc>
        <w:tc>
          <w:tcPr>
            <w:tcW w:w="6705" w:type="dxa"/>
          </w:tcPr>
          <w:p w14:paraId="6D16B6A3" w14:textId="78065D7F" w:rsidR="00F61BB4" w:rsidRDefault="00DF6BF2" w:rsidP="00243F2E">
            <w:pPr>
              <w:ind w:left="0" w:firstLine="0"/>
              <w:cnfStyle w:val="000000100000" w:firstRow="0" w:lastRow="0" w:firstColumn="0" w:lastColumn="0" w:oddVBand="0" w:evenVBand="0" w:oddHBand="1" w:evenHBand="0" w:firstRowFirstColumn="0" w:firstRowLastColumn="0" w:lastRowFirstColumn="0" w:lastRowLastColumn="0"/>
            </w:pPr>
            <w:r>
              <w:t>Does not apply to the SOC</w:t>
            </w:r>
            <w:r w:rsidR="00D9438D">
              <w:t xml:space="preserve"> itself.  </w:t>
            </w:r>
          </w:p>
        </w:tc>
        <w:tc>
          <w:tcPr>
            <w:tcW w:w="3638" w:type="dxa"/>
          </w:tcPr>
          <w:p w14:paraId="369FF37C" w14:textId="1B4B4B85" w:rsidR="00F61BB4" w:rsidRPr="00720A50" w:rsidRDefault="00720A50" w:rsidP="00243F2E">
            <w:pPr>
              <w:ind w:left="0" w:firstLine="0"/>
              <w:cnfStyle w:val="000000100000" w:firstRow="0" w:lastRow="0" w:firstColumn="0" w:lastColumn="0" w:oddVBand="0" w:evenVBand="0" w:oddHBand="1" w:evenHBand="0" w:firstRowFirstColumn="0" w:firstRowLastColumn="0" w:lastRowFirstColumn="0" w:lastRowLastColumn="0"/>
              <w:rPr>
                <w:b/>
                <w:bCs/>
                <w:szCs w:val="24"/>
              </w:rPr>
            </w:pPr>
            <w:r w:rsidRPr="00720A50">
              <w:rPr>
                <w:b/>
                <w:bCs/>
                <w:szCs w:val="24"/>
              </w:rPr>
              <w:t xml:space="preserve">NIST SP 800-53 Rev. 5 </w:t>
            </w:r>
            <w:r w:rsidRPr="00720A50">
              <w:rPr>
                <w:szCs w:val="24"/>
              </w:rPr>
              <w:t>SR-1, SR-3</w:t>
            </w:r>
          </w:p>
        </w:tc>
      </w:tr>
      <w:tr w:rsidR="00C8795B" w14:paraId="6450E9CD" w14:textId="77777777" w:rsidTr="766416E5">
        <w:tc>
          <w:tcPr>
            <w:cnfStyle w:val="001000000000" w:firstRow="0" w:lastRow="0" w:firstColumn="1" w:lastColumn="0" w:oddVBand="0" w:evenVBand="0" w:oddHBand="0" w:evenHBand="0" w:firstRowFirstColumn="0" w:firstRowLastColumn="0" w:lastRowFirstColumn="0" w:lastRowLastColumn="0"/>
            <w:tcW w:w="2696" w:type="dxa"/>
          </w:tcPr>
          <w:p w14:paraId="134A0DE0" w14:textId="3F370152" w:rsidR="00C8795B" w:rsidRDefault="00DF6BF2" w:rsidP="009C579A">
            <w:pPr>
              <w:ind w:left="0" w:firstLine="0"/>
            </w:pPr>
            <w:r w:rsidRPr="00DF6BF2">
              <w:t>ID.BE-2: The organization’s place in critical infrastructure and its industry sector is identified and communicated</w:t>
            </w:r>
          </w:p>
        </w:tc>
        <w:tc>
          <w:tcPr>
            <w:tcW w:w="6705" w:type="dxa"/>
          </w:tcPr>
          <w:p w14:paraId="1B02FD54" w14:textId="4BAA4D12" w:rsidR="00C8795B" w:rsidRDefault="00836C72" w:rsidP="009C579A">
            <w:pPr>
              <w:ind w:left="0" w:firstLine="0"/>
              <w:cnfStyle w:val="000000000000" w:firstRow="0" w:lastRow="0" w:firstColumn="0" w:lastColumn="0" w:oddVBand="0" w:evenVBand="0" w:oddHBand="0" w:evenHBand="0" w:firstRowFirstColumn="0" w:firstRowLastColumn="0" w:lastRowFirstColumn="0" w:lastRowLastColumn="0"/>
            </w:pPr>
            <w:r>
              <w:t>Typically, d</w:t>
            </w:r>
            <w:r w:rsidR="00DF6BF2">
              <w:t>oes not apply to the SOC</w:t>
            </w:r>
            <w:r>
              <w:t>. A payload may provide services that support the critical infrastructure and by extension, the SOC becomes a part of the critical infrastructure</w:t>
            </w:r>
            <w:r w:rsidR="00B069D0">
              <w:t>.</w:t>
            </w:r>
            <w:r>
              <w:t xml:space="preserve">  </w:t>
            </w:r>
          </w:p>
        </w:tc>
        <w:tc>
          <w:tcPr>
            <w:tcW w:w="3638" w:type="dxa"/>
          </w:tcPr>
          <w:p w14:paraId="5CBD46C5" w14:textId="19832207" w:rsidR="00C8795B" w:rsidRPr="00BF2D2A" w:rsidRDefault="00720A50" w:rsidP="009C579A">
            <w:pPr>
              <w:ind w:left="0" w:firstLine="0"/>
              <w:cnfStyle w:val="000000000000" w:firstRow="0" w:lastRow="0" w:firstColumn="0" w:lastColumn="0" w:oddVBand="0" w:evenVBand="0" w:oddHBand="0" w:evenHBand="0" w:firstRowFirstColumn="0" w:firstRowLastColumn="0" w:lastRowFirstColumn="0" w:lastRowLastColumn="0"/>
              <w:rPr>
                <w:szCs w:val="24"/>
              </w:rPr>
            </w:pPr>
            <w:r w:rsidRPr="00720A50">
              <w:rPr>
                <w:b/>
                <w:bCs/>
                <w:szCs w:val="24"/>
              </w:rPr>
              <w:t>NIST SP 800-53 Rev. 5</w:t>
            </w:r>
            <w:r w:rsidR="00BF2D2A">
              <w:rPr>
                <w:b/>
                <w:bCs/>
                <w:szCs w:val="24"/>
              </w:rPr>
              <w:t xml:space="preserve"> </w:t>
            </w:r>
            <w:r w:rsidR="00BF2D2A">
              <w:rPr>
                <w:szCs w:val="24"/>
              </w:rPr>
              <w:t>PM-8</w:t>
            </w:r>
          </w:p>
        </w:tc>
      </w:tr>
      <w:tr w:rsidR="00C8795B" w14:paraId="47178BFA" w14:textId="77777777" w:rsidTr="76641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0F264F71" w14:textId="602BD484" w:rsidR="00C8795B" w:rsidRDefault="00DF6BF2" w:rsidP="009C579A">
            <w:pPr>
              <w:ind w:left="0" w:firstLine="0"/>
            </w:pPr>
            <w:r w:rsidRPr="00DF6BF2">
              <w:t>ID.BE-3: Priorities for organizational mission, objectives, and activities are established and communicated</w:t>
            </w:r>
          </w:p>
        </w:tc>
        <w:tc>
          <w:tcPr>
            <w:tcW w:w="6705" w:type="dxa"/>
          </w:tcPr>
          <w:p w14:paraId="7AED3B7A" w14:textId="2F20FE58" w:rsidR="00C8795B" w:rsidRDefault="00836C72" w:rsidP="009C579A">
            <w:pPr>
              <w:ind w:left="0" w:firstLine="0"/>
              <w:cnfStyle w:val="000000100000" w:firstRow="0" w:lastRow="0" w:firstColumn="0" w:lastColumn="0" w:oddVBand="0" w:evenVBand="0" w:oddHBand="1" w:evenHBand="0" w:firstRowFirstColumn="0" w:firstRowLastColumn="0" w:lastRowFirstColumn="0" w:lastRowLastColumn="0"/>
            </w:pPr>
            <w:r>
              <w:t xml:space="preserve">Does not directly apply to the SOC.  Consider communicating the priorities, threshold, and objective performance parameters so that potential customers of the satellite services will understand the scope and suitability for their mission.    </w:t>
            </w:r>
          </w:p>
        </w:tc>
        <w:tc>
          <w:tcPr>
            <w:tcW w:w="3638" w:type="dxa"/>
          </w:tcPr>
          <w:p w14:paraId="7A0FB173" w14:textId="2994AE2A" w:rsidR="00C8795B" w:rsidRPr="00BF2D2A" w:rsidRDefault="00720A50" w:rsidP="009C579A">
            <w:pPr>
              <w:ind w:left="0" w:firstLine="0"/>
              <w:cnfStyle w:val="000000100000" w:firstRow="0" w:lastRow="0" w:firstColumn="0" w:lastColumn="0" w:oddVBand="0" w:evenVBand="0" w:oddHBand="1" w:evenHBand="0" w:firstRowFirstColumn="0" w:firstRowLastColumn="0" w:lastRowFirstColumn="0" w:lastRowLastColumn="0"/>
              <w:rPr>
                <w:szCs w:val="24"/>
              </w:rPr>
            </w:pPr>
            <w:r w:rsidRPr="00720A50">
              <w:rPr>
                <w:b/>
                <w:bCs/>
                <w:szCs w:val="24"/>
              </w:rPr>
              <w:t>NIST SP 800-53 Rev. 5</w:t>
            </w:r>
            <w:r w:rsidR="00BF2D2A">
              <w:rPr>
                <w:b/>
                <w:bCs/>
                <w:szCs w:val="24"/>
              </w:rPr>
              <w:t xml:space="preserve"> </w:t>
            </w:r>
            <w:r w:rsidR="00BF2D2A">
              <w:rPr>
                <w:szCs w:val="24"/>
              </w:rPr>
              <w:t>PM-11</w:t>
            </w:r>
          </w:p>
        </w:tc>
      </w:tr>
      <w:tr w:rsidR="00C8795B" w14:paraId="53FBD752" w14:textId="77777777" w:rsidTr="766416E5">
        <w:tc>
          <w:tcPr>
            <w:cnfStyle w:val="001000000000" w:firstRow="0" w:lastRow="0" w:firstColumn="1" w:lastColumn="0" w:oddVBand="0" w:evenVBand="0" w:oddHBand="0" w:evenHBand="0" w:firstRowFirstColumn="0" w:firstRowLastColumn="0" w:lastRowFirstColumn="0" w:lastRowLastColumn="0"/>
            <w:tcW w:w="2696" w:type="dxa"/>
          </w:tcPr>
          <w:p w14:paraId="6D61D1C1" w14:textId="45A46063" w:rsidR="00C8795B" w:rsidRDefault="00DF6BF2" w:rsidP="009C579A">
            <w:pPr>
              <w:ind w:left="0" w:firstLine="0"/>
            </w:pPr>
            <w:r w:rsidRPr="00DF6BF2">
              <w:lastRenderedPageBreak/>
              <w:t>ID.BE-4: Dependencies and critical functions for delivery of critical services are established</w:t>
            </w:r>
          </w:p>
        </w:tc>
        <w:tc>
          <w:tcPr>
            <w:tcW w:w="6705" w:type="dxa"/>
          </w:tcPr>
          <w:p w14:paraId="1BB4AAAA" w14:textId="77777777" w:rsidR="00C8795B" w:rsidRDefault="00836C72" w:rsidP="009C579A">
            <w:pPr>
              <w:ind w:left="0" w:firstLine="0"/>
              <w:cnfStyle w:val="000000000000" w:firstRow="0" w:lastRow="0" w:firstColumn="0" w:lastColumn="0" w:oddVBand="0" w:evenVBand="0" w:oddHBand="0" w:evenHBand="0" w:firstRowFirstColumn="0" w:firstRowLastColumn="0" w:lastRowFirstColumn="0" w:lastRowLastColumn="0"/>
            </w:pPr>
            <w:r w:rsidRPr="00836C72">
              <w:t>Identify any critical capabilities form other sectors such as power, transportation, communications etc. that may impact the mission.  The organization’s infrastructure, such as network communication architectures, protocols, hardware components, can impact recovery time.</w:t>
            </w:r>
          </w:p>
          <w:p w14:paraId="5CB8D472" w14:textId="7BD13E95" w:rsidR="00D9438D" w:rsidRDefault="00D9438D" w:rsidP="009C579A">
            <w:pPr>
              <w:ind w:left="0" w:firstLine="0"/>
              <w:cnfStyle w:val="000000000000" w:firstRow="0" w:lastRow="0" w:firstColumn="0" w:lastColumn="0" w:oddVBand="0" w:evenVBand="0" w:oddHBand="0" w:evenHBand="0" w:firstRowFirstColumn="0" w:firstRowLastColumn="0" w:lastRowFirstColumn="0" w:lastRowLastColumn="0"/>
            </w:pPr>
            <w:r>
              <w:t xml:space="preserve">Most SOCs have uninterrupted power supplies and diverse communication paths.  </w:t>
            </w:r>
          </w:p>
        </w:tc>
        <w:tc>
          <w:tcPr>
            <w:tcW w:w="3638" w:type="dxa"/>
          </w:tcPr>
          <w:p w14:paraId="39BAF2A8" w14:textId="5B77C731" w:rsidR="00C8795B" w:rsidRDefault="596114D0" w:rsidP="2D9AAC23">
            <w:pPr>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2D9AAC23">
              <w:rPr>
                <w:b/>
                <w:bCs/>
                <w:color w:val="000000" w:themeColor="text1"/>
                <w:szCs w:val="24"/>
              </w:rPr>
              <w:t xml:space="preserve">NIST SP 800-53 Rev. 5 </w:t>
            </w:r>
            <w:r w:rsidRPr="2D9AAC23">
              <w:rPr>
                <w:color w:val="000000" w:themeColor="text1"/>
                <w:szCs w:val="24"/>
              </w:rPr>
              <w:t>CP-8, PE-9, PE-11, PM-8, RA-9</w:t>
            </w:r>
          </w:p>
        </w:tc>
      </w:tr>
      <w:tr w:rsidR="00C8795B" w14:paraId="66A0333E" w14:textId="77777777" w:rsidTr="76641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7F8038C8" w14:textId="75A75733" w:rsidR="00C8795B" w:rsidRDefault="00DF6BF2" w:rsidP="009C579A">
            <w:pPr>
              <w:ind w:left="0" w:firstLine="0"/>
            </w:pPr>
            <w:r w:rsidRPr="00DF6BF2">
              <w:t>ID.BE-5: Resilience requirements to support delivery of critical services are established for all operating states (</w:t>
            </w:r>
            <w:proofErr w:type="gramStart"/>
            <w:r w:rsidRPr="00DF6BF2">
              <w:t>e.g.</w:t>
            </w:r>
            <w:proofErr w:type="gramEnd"/>
            <w:r w:rsidRPr="00DF6BF2">
              <w:t xml:space="preserve"> under duress/attack, during recovery, normal operations)</w:t>
            </w:r>
          </w:p>
        </w:tc>
        <w:tc>
          <w:tcPr>
            <w:tcW w:w="6705" w:type="dxa"/>
          </w:tcPr>
          <w:p w14:paraId="2E0ECD01" w14:textId="717A935F" w:rsidR="00C8795B" w:rsidRDefault="00007E09" w:rsidP="009C579A">
            <w:pPr>
              <w:ind w:left="0" w:firstLine="0"/>
              <w:cnfStyle w:val="000000100000" w:firstRow="0" w:lastRow="0" w:firstColumn="0" w:lastColumn="0" w:oddVBand="0" w:evenVBand="0" w:oddHBand="1" w:evenHBand="0" w:firstRowFirstColumn="0" w:firstRowLastColumn="0" w:lastRowFirstColumn="0" w:lastRowLastColumn="0"/>
            </w:pPr>
            <w:r>
              <w:t xml:space="preserve">Resiliency requirements for the SOC are strongly dependent on the space and user segments. The ability for the space segment to function autonomously and criticality of the services provided by the payload will define upper and lower bounds on resiliency requirements (such as recovery time, periods of outage etc.)  </w:t>
            </w:r>
          </w:p>
        </w:tc>
        <w:tc>
          <w:tcPr>
            <w:tcW w:w="3638" w:type="dxa"/>
          </w:tcPr>
          <w:p w14:paraId="0CD92347" w14:textId="409C398B" w:rsidR="00C8795B" w:rsidRDefault="2D43C5E9" w:rsidP="009C579A">
            <w:pPr>
              <w:ind w:left="0" w:firstLine="0"/>
              <w:cnfStyle w:val="000000100000" w:firstRow="0" w:lastRow="0" w:firstColumn="0" w:lastColumn="0" w:oddVBand="0" w:evenVBand="0" w:oddHBand="1" w:evenHBand="0" w:firstRowFirstColumn="0" w:firstRowLastColumn="0" w:lastRowFirstColumn="0" w:lastRowLastColumn="0"/>
            </w:pPr>
            <w:r w:rsidRPr="00720A50">
              <w:rPr>
                <w:b/>
                <w:bCs/>
              </w:rPr>
              <w:t>IEC 61850-90-4</w:t>
            </w:r>
            <w:r>
              <w:t xml:space="preserve"> </w:t>
            </w:r>
            <w:proofErr w:type="gramStart"/>
            <w:r>
              <w:t>14.2.4  12.2</w:t>
            </w:r>
            <w:proofErr w:type="gramEnd"/>
            <w:r>
              <w:t xml:space="preserve"> </w:t>
            </w:r>
          </w:p>
          <w:p w14:paraId="3EA1CABD" w14:textId="0D5DB220" w:rsidR="00C8795B" w:rsidRDefault="2D43C5E9" w:rsidP="2D9AAC23">
            <w:pPr>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00720A50">
              <w:rPr>
                <w:b/>
                <w:bCs/>
                <w:color w:val="000000" w:themeColor="text1"/>
                <w:szCs w:val="24"/>
              </w:rPr>
              <w:t>NIST SP 800-53 Rev. 5</w:t>
            </w:r>
            <w:r w:rsidRPr="2D9AAC23">
              <w:rPr>
                <w:color w:val="000000" w:themeColor="text1"/>
                <w:szCs w:val="24"/>
              </w:rPr>
              <w:t xml:space="preserve"> CP-2, CP-11, RA-9, SA-8</w:t>
            </w:r>
          </w:p>
          <w:p w14:paraId="558951A9" w14:textId="78DAD920" w:rsidR="00C8795B" w:rsidRDefault="2D43C5E9" w:rsidP="2D9AAC23">
            <w:pPr>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rPr>
            </w:pPr>
            <w:commentRangeStart w:id="2"/>
            <w:r w:rsidRPr="2D9AAC23">
              <w:rPr>
                <w:color w:val="000000" w:themeColor="text1"/>
                <w:szCs w:val="24"/>
                <w:highlight w:val="yellow"/>
              </w:rPr>
              <w:t>RTCA 235 14.2, 14.3, 14.4</w:t>
            </w:r>
            <w:commentRangeEnd w:id="2"/>
            <w:r w:rsidR="00C8795B">
              <w:rPr>
                <w:rStyle w:val="CommentReference"/>
              </w:rPr>
              <w:commentReference w:id="2"/>
            </w:r>
          </w:p>
          <w:p w14:paraId="57F3C6A9" w14:textId="409D3FFF" w:rsidR="00C8795B" w:rsidRDefault="00C8795B" w:rsidP="2D9AAC23">
            <w:pPr>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p>
          <w:p w14:paraId="08DB783B" w14:textId="32F371B8" w:rsidR="00C8795B" w:rsidRDefault="00C8795B" w:rsidP="2D9AAC23">
            <w:pPr>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p>
        </w:tc>
      </w:tr>
    </w:tbl>
    <w:p w14:paraId="59AD3787" w14:textId="267B13F1" w:rsidR="00F61BB4" w:rsidRDefault="0029551D">
      <w:pPr>
        <w:spacing w:after="198" w:line="259" w:lineRule="auto"/>
        <w:ind w:left="0" w:firstLine="0"/>
      </w:pPr>
      <w:r>
        <w:t xml:space="preserve"> </w:t>
      </w:r>
    </w:p>
    <w:p w14:paraId="589E568A" w14:textId="77777777" w:rsidR="00BB0E49" w:rsidRDefault="00BB0E49" w:rsidP="00BB0E49">
      <w:pPr>
        <w:pStyle w:val="Heading5"/>
        <w:ind w:left="-5" w:right="0"/>
      </w:pPr>
      <w:r>
        <w:t xml:space="preserve">4.1.3 Governance Category </w:t>
      </w:r>
    </w:p>
    <w:p w14:paraId="4D6AC12D" w14:textId="405F06C1" w:rsidR="00BB0E49" w:rsidRDefault="00BB0E49" w:rsidP="00BB0E49">
      <w:pPr>
        <w:ind w:left="-5"/>
      </w:pPr>
      <w:r>
        <w:t xml:space="preserve">The policies, procedures, and processes to manage and monitor the organization’s regulatory, legal, risk, environmental, and operational requirements are understood and inform the management of cybersecurity risk.   </w:t>
      </w:r>
    </w:p>
    <w:p w14:paraId="5AB8DB77" w14:textId="745DA0CD" w:rsidR="00BB0E49" w:rsidRDefault="00BB0E49" w:rsidP="00BB0E49">
      <w:pPr>
        <w:spacing w:after="198" w:line="259" w:lineRule="auto"/>
        <w:ind w:left="0" w:firstLine="0"/>
      </w:pPr>
      <w:r>
        <w:t xml:space="preserve">There are four Subcategories within Governance, </w:t>
      </w:r>
      <w:r w:rsidR="00A807EB">
        <w:t>all</w:t>
      </w:r>
      <w:r>
        <w:t xml:space="preserve"> of which apply to the SOC. </w:t>
      </w:r>
    </w:p>
    <w:tbl>
      <w:tblPr>
        <w:tblStyle w:val="ListTable4-Accent5"/>
        <w:tblW w:w="0" w:type="auto"/>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696"/>
        <w:gridCol w:w="6305"/>
        <w:gridCol w:w="4038"/>
      </w:tblGrid>
      <w:tr w:rsidR="001A7442" w14:paraId="629A5364" w14:textId="77777777" w:rsidTr="76641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9" w:type="dxa"/>
            <w:gridSpan w:val="3"/>
            <w:shd w:val="clear" w:color="auto" w:fill="0066FF"/>
          </w:tcPr>
          <w:p w14:paraId="5346EA60" w14:textId="6D68B867" w:rsidR="001A7442" w:rsidRPr="0054579D" w:rsidRDefault="001A7442" w:rsidP="0019052C">
            <w:pPr>
              <w:ind w:left="0" w:firstLine="0"/>
              <w:rPr>
                <w:color w:val="FFFFFF" w:themeColor="background1"/>
              </w:rPr>
            </w:pPr>
            <w:r>
              <w:rPr>
                <w:color w:val="FFFFFF" w:themeColor="background1"/>
              </w:rPr>
              <w:lastRenderedPageBreak/>
              <w:t>Identify:  Governance Category</w:t>
            </w:r>
          </w:p>
        </w:tc>
      </w:tr>
      <w:tr w:rsidR="001A7442" w14:paraId="2F4554F2" w14:textId="77777777" w:rsidTr="76641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6" w:type="dxa"/>
            <w:shd w:val="clear" w:color="auto" w:fill="0066FF"/>
          </w:tcPr>
          <w:p w14:paraId="557E2075" w14:textId="77777777" w:rsidR="001A7442" w:rsidRPr="0054579D" w:rsidRDefault="001A7442" w:rsidP="0019052C">
            <w:pPr>
              <w:ind w:left="0" w:firstLine="0"/>
              <w:rPr>
                <w:color w:val="FFFFFF" w:themeColor="background1"/>
              </w:rPr>
            </w:pPr>
            <w:r w:rsidRPr="0054579D">
              <w:rPr>
                <w:color w:val="FFFFFF" w:themeColor="background1"/>
              </w:rPr>
              <w:t>Subcategory</w:t>
            </w:r>
          </w:p>
        </w:tc>
        <w:tc>
          <w:tcPr>
            <w:tcW w:w="6305" w:type="dxa"/>
            <w:shd w:val="clear" w:color="auto" w:fill="0066FF"/>
          </w:tcPr>
          <w:p w14:paraId="62B00F61" w14:textId="77777777" w:rsidR="001A7442" w:rsidRPr="00243F2E" w:rsidRDefault="001A7442" w:rsidP="0019052C">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243F2E">
              <w:rPr>
                <w:color w:val="FFFFFF" w:themeColor="background1"/>
              </w:rPr>
              <w:t xml:space="preserve">Applicability to </w:t>
            </w:r>
            <w:r w:rsidRPr="0054579D">
              <w:rPr>
                <w:color w:val="FFFFFF" w:themeColor="background1"/>
              </w:rPr>
              <w:t>SOC</w:t>
            </w:r>
          </w:p>
        </w:tc>
        <w:tc>
          <w:tcPr>
            <w:tcW w:w="4038" w:type="dxa"/>
            <w:shd w:val="clear" w:color="auto" w:fill="0066FF"/>
          </w:tcPr>
          <w:p w14:paraId="174AE524" w14:textId="77777777" w:rsidR="001A7442" w:rsidRPr="00243F2E" w:rsidRDefault="001A7442" w:rsidP="0019052C">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243F2E">
              <w:rPr>
                <w:color w:val="FFFFFF" w:themeColor="background1"/>
              </w:rPr>
              <w:t>References</w:t>
            </w:r>
          </w:p>
        </w:tc>
      </w:tr>
      <w:tr w:rsidR="001A7442" w14:paraId="50BD5DB7" w14:textId="77777777" w:rsidTr="76641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11D88A9A" w14:textId="3624103A" w:rsidR="001A7442" w:rsidRDefault="00CE027B" w:rsidP="0019052C">
            <w:pPr>
              <w:ind w:left="0" w:firstLine="0"/>
            </w:pPr>
            <w:proofErr w:type="gramStart"/>
            <w:r w:rsidRPr="00CE027B">
              <w:t>ID.GV</w:t>
            </w:r>
            <w:proofErr w:type="gramEnd"/>
            <w:r w:rsidRPr="00CE027B">
              <w:t>-1: Organizational cybersecurity policy is established and communicated</w:t>
            </w:r>
          </w:p>
        </w:tc>
        <w:tc>
          <w:tcPr>
            <w:tcW w:w="6305" w:type="dxa"/>
          </w:tcPr>
          <w:p w14:paraId="3B4A02BF" w14:textId="5F5B993C" w:rsidR="001A7442" w:rsidRDefault="00CE027B" w:rsidP="0019052C">
            <w:pPr>
              <w:ind w:left="0" w:firstLine="0"/>
              <w:cnfStyle w:val="000000100000" w:firstRow="0" w:lastRow="0" w:firstColumn="0" w:lastColumn="0" w:oddVBand="0" w:evenVBand="0" w:oddHBand="1" w:evenHBand="0" w:firstRowFirstColumn="0" w:firstRowLastColumn="0" w:lastRowFirstColumn="0" w:lastRowLastColumn="0"/>
            </w:pPr>
            <w:r>
              <w:t>Enables the organization to identify key functions, assign areas of responsibility to ensure a comprehensive cybersecurity approach</w:t>
            </w:r>
            <w:r w:rsidR="00B069D0">
              <w:t>.</w:t>
            </w:r>
          </w:p>
        </w:tc>
        <w:tc>
          <w:tcPr>
            <w:tcW w:w="4038" w:type="dxa"/>
          </w:tcPr>
          <w:p w14:paraId="21583A32" w14:textId="42637584" w:rsidR="001A7442" w:rsidRPr="00BF2D2A" w:rsidRDefault="00720A50" w:rsidP="0019052C">
            <w:pPr>
              <w:ind w:left="0" w:firstLine="0"/>
              <w:cnfStyle w:val="000000100000" w:firstRow="0" w:lastRow="0" w:firstColumn="0" w:lastColumn="0" w:oddVBand="0" w:evenVBand="0" w:oddHBand="1" w:evenHBand="0" w:firstRowFirstColumn="0" w:firstRowLastColumn="0" w:lastRowFirstColumn="0" w:lastRowLastColumn="0"/>
              <w:rPr>
                <w:szCs w:val="24"/>
              </w:rPr>
            </w:pPr>
            <w:r w:rsidRPr="00720A50">
              <w:rPr>
                <w:b/>
                <w:bCs/>
                <w:szCs w:val="24"/>
              </w:rPr>
              <w:t>NIST SP 800-53 Rev. 5</w:t>
            </w:r>
            <w:r w:rsidR="00BF2D2A">
              <w:rPr>
                <w:b/>
                <w:bCs/>
                <w:szCs w:val="24"/>
              </w:rPr>
              <w:t xml:space="preserve"> </w:t>
            </w:r>
            <w:r w:rsidR="00BF2D2A">
              <w:rPr>
                <w:szCs w:val="24"/>
              </w:rPr>
              <w:t xml:space="preserve">All </w:t>
            </w:r>
            <w:r w:rsidR="007F6544">
              <w:rPr>
                <w:szCs w:val="24"/>
              </w:rPr>
              <w:t xml:space="preserve">-1 </w:t>
            </w:r>
            <w:r w:rsidR="00BF2D2A">
              <w:rPr>
                <w:szCs w:val="24"/>
              </w:rPr>
              <w:t>control</w:t>
            </w:r>
            <w:r w:rsidR="007F6544">
              <w:rPr>
                <w:szCs w:val="24"/>
              </w:rPr>
              <w:t>s</w:t>
            </w:r>
            <w:r w:rsidR="00BF2D2A">
              <w:rPr>
                <w:szCs w:val="24"/>
              </w:rPr>
              <w:t xml:space="preserve"> </w:t>
            </w:r>
          </w:p>
        </w:tc>
      </w:tr>
      <w:tr w:rsidR="001A7442" w14:paraId="5A3447FF" w14:textId="77777777" w:rsidTr="766416E5">
        <w:tc>
          <w:tcPr>
            <w:cnfStyle w:val="001000000000" w:firstRow="0" w:lastRow="0" w:firstColumn="1" w:lastColumn="0" w:oddVBand="0" w:evenVBand="0" w:oddHBand="0" w:evenHBand="0" w:firstRowFirstColumn="0" w:firstRowLastColumn="0" w:lastRowFirstColumn="0" w:lastRowLastColumn="0"/>
            <w:tcW w:w="2696" w:type="dxa"/>
          </w:tcPr>
          <w:p w14:paraId="0BC10F40" w14:textId="213EA990" w:rsidR="001A7442" w:rsidRDefault="00CE027B" w:rsidP="0019052C">
            <w:pPr>
              <w:ind w:left="0" w:firstLine="0"/>
            </w:pPr>
            <w:proofErr w:type="gramStart"/>
            <w:r w:rsidRPr="00CE027B">
              <w:t>ID.GV</w:t>
            </w:r>
            <w:proofErr w:type="gramEnd"/>
            <w:r w:rsidRPr="00CE027B">
              <w:t>-2: Cybersecurity roles and responsibilities are coordinated and aligned with internal roles and external partners</w:t>
            </w:r>
          </w:p>
        </w:tc>
        <w:tc>
          <w:tcPr>
            <w:tcW w:w="6305" w:type="dxa"/>
          </w:tcPr>
          <w:p w14:paraId="0872AE98" w14:textId="56C2A2CA" w:rsidR="001A7442" w:rsidRDefault="00CE027B" w:rsidP="0019052C">
            <w:pPr>
              <w:ind w:left="0" w:firstLine="0"/>
              <w:cnfStyle w:val="000000000000" w:firstRow="0" w:lastRow="0" w:firstColumn="0" w:lastColumn="0" w:oddVBand="0" w:evenVBand="0" w:oddHBand="0" w:evenHBand="0" w:firstRowFirstColumn="0" w:firstRowLastColumn="0" w:lastRowFirstColumn="0" w:lastRowLastColumn="0"/>
            </w:pPr>
            <w:r>
              <w:t>Clearly defined internal roles and responsibilities will facilitate a response in a time of duress. Coordination with external partners</w:t>
            </w:r>
            <w:r w:rsidR="00A45FC7">
              <w:t xml:space="preserve"> normally</w:t>
            </w:r>
            <w:r>
              <w:t xml:space="preserve"> does not apply to the SOC</w:t>
            </w:r>
            <w:r w:rsidR="00A45FC7">
              <w:t xml:space="preserve">.  </w:t>
            </w:r>
          </w:p>
        </w:tc>
        <w:tc>
          <w:tcPr>
            <w:tcW w:w="4038" w:type="dxa"/>
          </w:tcPr>
          <w:p w14:paraId="32A0B45E" w14:textId="5D9EF5A7" w:rsidR="001A7442" w:rsidRDefault="00720A50" w:rsidP="0019052C">
            <w:pPr>
              <w:ind w:left="0" w:firstLine="0"/>
              <w:cnfStyle w:val="000000000000" w:firstRow="0" w:lastRow="0" w:firstColumn="0" w:lastColumn="0" w:oddVBand="0" w:evenVBand="0" w:oddHBand="0" w:evenHBand="0" w:firstRowFirstColumn="0" w:firstRowLastColumn="0" w:lastRowFirstColumn="0" w:lastRowLastColumn="0"/>
            </w:pPr>
            <w:r w:rsidRPr="00720A50">
              <w:rPr>
                <w:b/>
                <w:bCs/>
                <w:szCs w:val="24"/>
              </w:rPr>
              <w:t>NIST SP 800-53 Rev. 5</w:t>
            </w:r>
            <w:r w:rsidR="00BF2D2A">
              <w:rPr>
                <w:b/>
                <w:bCs/>
                <w:szCs w:val="24"/>
              </w:rPr>
              <w:t xml:space="preserve"> </w:t>
            </w:r>
            <w:r w:rsidR="00BF2D2A" w:rsidRPr="00BF2D2A">
              <w:rPr>
                <w:szCs w:val="24"/>
              </w:rPr>
              <w:t>PS-7, PS-9, PM-1, PM-2, PM-29</w:t>
            </w:r>
          </w:p>
        </w:tc>
      </w:tr>
      <w:tr w:rsidR="001A7442" w14:paraId="64711035" w14:textId="77777777" w:rsidTr="76641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22BAF747" w14:textId="2D0D8F3F" w:rsidR="001A7442" w:rsidRDefault="00CE027B" w:rsidP="0019052C">
            <w:pPr>
              <w:ind w:left="0" w:firstLine="0"/>
            </w:pPr>
            <w:proofErr w:type="gramStart"/>
            <w:r w:rsidRPr="00CE027B">
              <w:t>ID.GV</w:t>
            </w:r>
            <w:proofErr w:type="gramEnd"/>
            <w:r w:rsidRPr="00CE027B">
              <w:t>-3: Legal and regulatory requirements regarding cybersecurity, including privacy and civil liberties obligations, are understood and managed</w:t>
            </w:r>
          </w:p>
        </w:tc>
        <w:tc>
          <w:tcPr>
            <w:tcW w:w="6305" w:type="dxa"/>
          </w:tcPr>
          <w:p w14:paraId="79AD1902" w14:textId="5A16EFCC" w:rsidR="001A7442" w:rsidRDefault="00A45FC7" w:rsidP="0019052C">
            <w:pPr>
              <w:ind w:left="0" w:firstLine="0"/>
              <w:cnfStyle w:val="000000100000" w:firstRow="0" w:lastRow="0" w:firstColumn="0" w:lastColumn="0" w:oddVBand="0" w:evenVBand="0" w:oddHBand="1" w:evenHBand="0" w:firstRowFirstColumn="0" w:firstRowLastColumn="0" w:lastRowFirstColumn="0" w:lastRowLastColumn="0"/>
            </w:pPr>
            <w:r>
              <w:t>Maintaining positive control of the space vehicle is critical for collision avoidance</w:t>
            </w:r>
            <w:r w:rsidR="00BD045B">
              <w:t>, especially for space vehicles that have onboard propellant</w:t>
            </w:r>
            <w:r>
              <w:t xml:space="preserve">. The SOC interfaces with the bus or payloads, thus civil liberties and privacy does not apply to the SOC.  </w:t>
            </w:r>
          </w:p>
        </w:tc>
        <w:tc>
          <w:tcPr>
            <w:tcW w:w="4038" w:type="dxa"/>
          </w:tcPr>
          <w:p w14:paraId="00A5671A" w14:textId="55949F3C" w:rsidR="001A7442" w:rsidRDefault="00720A50" w:rsidP="0019052C">
            <w:pPr>
              <w:ind w:left="0" w:firstLine="0"/>
              <w:cnfStyle w:val="000000100000" w:firstRow="0" w:lastRow="0" w:firstColumn="0" w:lastColumn="0" w:oddVBand="0" w:evenVBand="0" w:oddHBand="1" w:evenHBand="0" w:firstRowFirstColumn="0" w:firstRowLastColumn="0" w:lastRowFirstColumn="0" w:lastRowLastColumn="0"/>
            </w:pPr>
            <w:r w:rsidRPr="00720A50">
              <w:rPr>
                <w:b/>
                <w:bCs/>
                <w:szCs w:val="24"/>
              </w:rPr>
              <w:t>NIST SP 800-53 Rev. 5</w:t>
            </w:r>
            <w:r w:rsidR="00BF2D2A">
              <w:rPr>
                <w:b/>
                <w:bCs/>
                <w:szCs w:val="24"/>
              </w:rPr>
              <w:t xml:space="preserve"> </w:t>
            </w:r>
            <w:r w:rsidR="00BF2D2A">
              <w:rPr>
                <w:szCs w:val="24"/>
              </w:rPr>
              <w:t>All</w:t>
            </w:r>
            <w:r w:rsidR="007F6544">
              <w:rPr>
                <w:szCs w:val="24"/>
              </w:rPr>
              <w:t xml:space="preserve"> -1</w:t>
            </w:r>
            <w:r w:rsidR="00BF2D2A">
              <w:rPr>
                <w:szCs w:val="24"/>
              </w:rPr>
              <w:t xml:space="preserve"> control</w:t>
            </w:r>
            <w:r w:rsidR="007F6544">
              <w:rPr>
                <w:szCs w:val="24"/>
              </w:rPr>
              <w:t xml:space="preserve">s </w:t>
            </w:r>
            <w:r w:rsidR="00BF2D2A">
              <w:rPr>
                <w:szCs w:val="24"/>
              </w:rPr>
              <w:t xml:space="preserve"> </w:t>
            </w:r>
          </w:p>
        </w:tc>
      </w:tr>
      <w:tr w:rsidR="001A7442" w14:paraId="53CBB828" w14:textId="77777777" w:rsidTr="766416E5">
        <w:tc>
          <w:tcPr>
            <w:cnfStyle w:val="001000000000" w:firstRow="0" w:lastRow="0" w:firstColumn="1" w:lastColumn="0" w:oddVBand="0" w:evenVBand="0" w:oddHBand="0" w:evenHBand="0" w:firstRowFirstColumn="0" w:firstRowLastColumn="0" w:lastRowFirstColumn="0" w:lastRowLastColumn="0"/>
            <w:tcW w:w="2696" w:type="dxa"/>
          </w:tcPr>
          <w:p w14:paraId="6087B132" w14:textId="179E0A6F" w:rsidR="001A7442" w:rsidRDefault="00CE027B" w:rsidP="0019052C">
            <w:pPr>
              <w:ind w:left="0" w:firstLine="0"/>
            </w:pPr>
            <w:proofErr w:type="gramStart"/>
            <w:r w:rsidRPr="00CE027B">
              <w:t>ID.GV</w:t>
            </w:r>
            <w:proofErr w:type="gramEnd"/>
            <w:r w:rsidRPr="00CE027B">
              <w:t>-4: Governance and risk management processes address cybersecurity risks</w:t>
            </w:r>
          </w:p>
        </w:tc>
        <w:tc>
          <w:tcPr>
            <w:tcW w:w="6305" w:type="dxa"/>
          </w:tcPr>
          <w:p w14:paraId="50A5BEB4" w14:textId="6A4C0D32" w:rsidR="001A7442" w:rsidRDefault="4A076F1B" w:rsidP="0019052C">
            <w:pPr>
              <w:ind w:left="0" w:firstLine="0"/>
              <w:cnfStyle w:val="000000000000" w:firstRow="0" w:lastRow="0" w:firstColumn="0" w:lastColumn="0" w:oddVBand="0" w:evenVBand="0" w:oddHBand="0" w:evenHBand="0" w:firstRowFirstColumn="0" w:firstRowLastColumn="0" w:lastRowFirstColumn="0" w:lastRowLastColumn="0"/>
            </w:pPr>
            <w:r>
              <w:t xml:space="preserve">Develop a comprehensive strategy to manage risk to the SOC. Include cybersecurity considerations in the risk management strategy. For organizations that host payloads, the risk management processes for command and control of the bus </w:t>
            </w:r>
            <w:r>
              <w:lastRenderedPageBreak/>
              <w:t xml:space="preserve">may be influenced by changes in the payload mission. Review and update the risk management strategy, as necessary.  </w:t>
            </w:r>
          </w:p>
        </w:tc>
        <w:tc>
          <w:tcPr>
            <w:tcW w:w="4038" w:type="dxa"/>
          </w:tcPr>
          <w:p w14:paraId="30D5A5FA" w14:textId="5726D34F" w:rsidR="001A7442" w:rsidRDefault="0241BBD2" w:rsidP="00866E9D">
            <w:pPr>
              <w:ind w:left="0" w:firstLine="0"/>
              <w:cnfStyle w:val="000000000000" w:firstRow="0" w:lastRow="0" w:firstColumn="0" w:lastColumn="0" w:oddVBand="0" w:evenVBand="0" w:oddHBand="0" w:evenHBand="0" w:firstRowFirstColumn="0" w:firstRowLastColumn="0" w:lastRowFirstColumn="0" w:lastRowLastColumn="0"/>
            </w:pPr>
            <w:r w:rsidRPr="2D9AAC23">
              <w:rPr>
                <w:b/>
                <w:bCs/>
                <w:color w:val="000000" w:themeColor="text1"/>
                <w:szCs w:val="24"/>
              </w:rPr>
              <w:lastRenderedPageBreak/>
              <w:t>NIST SP 800-53 Rev. 5</w:t>
            </w:r>
            <w:r w:rsidRPr="2D9AAC23">
              <w:rPr>
                <w:color w:val="000000" w:themeColor="text1"/>
                <w:szCs w:val="24"/>
              </w:rPr>
              <w:t xml:space="preserve">, PM-3, PM-7, PM9, PM-10, PM-11, PM-28, RA-1, RA-2, RA-3, SA-2  </w:t>
            </w:r>
          </w:p>
          <w:p w14:paraId="30B935A4" w14:textId="15A17C68" w:rsidR="001A7442" w:rsidRDefault="0241BBD2" w:rsidP="2D9AAC23">
            <w:pPr>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r w:rsidRPr="2D9AAC23">
              <w:rPr>
                <w:b/>
                <w:bCs/>
                <w:color w:val="000000" w:themeColor="text1"/>
                <w:szCs w:val="24"/>
              </w:rPr>
              <w:t xml:space="preserve">NIST SP 800-160 Rev. 1 </w:t>
            </w:r>
            <w:r w:rsidRPr="2D9AAC23">
              <w:rPr>
                <w:color w:val="000000" w:themeColor="text1"/>
                <w:szCs w:val="24"/>
              </w:rPr>
              <w:t>3.3.8</w:t>
            </w:r>
          </w:p>
          <w:p w14:paraId="0191DCAE" w14:textId="62617A11" w:rsidR="001A7442" w:rsidRDefault="0241BBD2" w:rsidP="2D9AAC23">
            <w:pPr>
              <w:ind w:left="0" w:firstLine="0"/>
              <w:cnfStyle w:val="000000000000" w:firstRow="0" w:lastRow="0" w:firstColumn="0" w:lastColumn="0" w:oddVBand="0" w:evenVBand="0" w:oddHBand="0" w:evenHBand="0" w:firstRowFirstColumn="0" w:firstRowLastColumn="0" w:lastRowFirstColumn="0" w:lastRowLastColumn="0"/>
              <w:rPr>
                <w:b/>
                <w:bCs/>
                <w:color w:val="000000" w:themeColor="text1"/>
                <w:szCs w:val="24"/>
              </w:rPr>
            </w:pPr>
            <w:r w:rsidRPr="2D9AAC23">
              <w:rPr>
                <w:b/>
                <w:bCs/>
                <w:color w:val="000000" w:themeColor="text1"/>
                <w:szCs w:val="24"/>
                <w:highlight w:val="yellow"/>
              </w:rPr>
              <w:lastRenderedPageBreak/>
              <w:t>VIM</w:t>
            </w:r>
            <w:commentRangeStart w:id="3"/>
            <w:commentRangeEnd w:id="3"/>
            <w:r w:rsidR="001A7442">
              <w:rPr>
                <w:rStyle w:val="CommentReference"/>
              </w:rPr>
              <w:commentReference w:id="3"/>
            </w:r>
          </w:p>
        </w:tc>
      </w:tr>
    </w:tbl>
    <w:p w14:paraId="45546F84" w14:textId="77777777" w:rsidR="001A7442" w:rsidRDefault="001A7442" w:rsidP="00BB0E49">
      <w:pPr>
        <w:spacing w:after="198" w:line="259" w:lineRule="auto"/>
        <w:ind w:left="0" w:firstLine="0"/>
      </w:pPr>
    </w:p>
    <w:p w14:paraId="6538241C" w14:textId="04213ECE" w:rsidR="00F61BB4" w:rsidRDefault="0029551D">
      <w:pPr>
        <w:pStyle w:val="Heading5"/>
        <w:ind w:left="-5" w:right="0"/>
      </w:pPr>
      <w:r>
        <w:t xml:space="preserve">4.1.4 Risk Assessment Category </w:t>
      </w:r>
    </w:p>
    <w:p w14:paraId="35CE3FDB" w14:textId="1741C650" w:rsidR="00F61BB4" w:rsidRDefault="0029551D">
      <w:pPr>
        <w:ind w:left="-5"/>
      </w:pPr>
      <w:r>
        <w:t xml:space="preserve">The organization understands the cybersecurity risk to operations (including mission, functions, image, or reputation), assets, and individuals. In the context of this Profile, the risk to organizational operations in the event of </w:t>
      </w:r>
      <w:r w:rsidR="001B0912">
        <w:t>a failure</w:t>
      </w:r>
      <w:r>
        <w:t xml:space="preserve"> to </w:t>
      </w:r>
      <w:r w:rsidR="001B0912">
        <w:t>control or determine the state of health of a satellite or payload</w:t>
      </w:r>
      <w:r>
        <w:t xml:space="preserve"> is the </w:t>
      </w:r>
      <w:r w:rsidR="001B0912">
        <w:t>primary</w:t>
      </w:r>
      <w:r>
        <w:t xml:space="preserve"> concern.  </w:t>
      </w:r>
    </w:p>
    <w:p w14:paraId="44748DCC" w14:textId="56BBB5ED" w:rsidR="00F61BB4" w:rsidRDefault="0029551D">
      <w:pPr>
        <w:spacing w:after="172"/>
        <w:ind w:left="-5"/>
      </w:pPr>
      <w:r>
        <w:t>There are five Subcategories within Risk Assessment</w:t>
      </w:r>
      <w:r w:rsidR="001B0912">
        <w:t>, all of which</w:t>
      </w:r>
      <w:r>
        <w:t xml:space="preserve"> apply to the </w:t>
      </w:r>
      <w:r w:rsidR="001B0912">
        <w:t>SOC</w:t>
      </w:r>
      <w:r>
        <w:t xml:space="preserve">. </w:t>
      </w:r>
    </w:p>
    <w:tbl>
      <w:tblPr>
        <w:tblStyle w:val="ListTable4-Accent5"/>
        <w:tblW w:w="0" w:type="auto"/>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696"/>
        <w:gridCol w:w="6305"/>
        <w:gridCol w:w="4038"/>
      </w:tblGrid>
      <w:tr w:rsidR="00A807EB" w14:paraId="510FD838" w14:textId="77777777" w:rsidTr="76641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9" w:type="dxa"/>
            <w:gridSpan w:val="3"/>
            <w:shd w:val="clear" w:color="auto" w:fill="0066FF"/>
          </w:tcPr>
          <w:p w14:paraId="46EEC532" w14:textId="221A3A7C" w:rsidR="00A807EB" w:rsidRPr="0054579D" w:rsidRDefault="00A807EB" w:rsidP="0019052C">
            <w:pPr>
              <w:ind w:left="0" w:firstLine="0"/>
              <w:rPr>
                <w:color w:val="FFFFFF" w:themeColor="background1"/>
              </w:rPr>
            </w:pPr>
            <w:r>
              <w:rPr>
                <w:color w:val="FFFFFF" w:themeColor="background1"/>
              </w:rPr>
              <w:t xml:space="preserve">Identify:  </w:t>
            </w:r>
            <w:r w:rsidR="002C7E4B">
              <w:rPr>
                <w:color w:val="FFFFFF" w:themeColor="background1"/>
              </w:rPr>
              <w:t>Risk Assessment</w:t>
            </w:r>
            <w:r>
              <w:rPr>
                <w:color w:val="FFFFFF" w:themeColor="background1"/>
              </w:rPr>
              <w:t xml:space="preserve"> Category</w:t>
            </w:r>
          </w:p>
        </w:tc>
      </w:tr>
      <w:tr w:rsidR="00A807EB" w14:paraId="20F47CDD" w14:textId="77777777" w:rsidTr="766416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6" w:type="dxa"/>
            <w:shd w:val="clear" w:color="auto" w:fill="0066FF"/>
          </w:tcPr>
          <w:p w14:paraId="67E6BA01" w14:textId="77777777" w:rsidR="00A807EB" w:rsidRPr="0054579D" w:rsidRDefault="00A807EB" w:rsidP="0019052C">
            <w:pPr>
              <w:ind w:left="0" w:firstLine="0"/>
              <w:rPr>
                <w:color w:val="FFFFFF" w:themeColor="background1"/>
              </w:rPr>
            </w:pPr>
            <w:r w:rsidRPr="0054579D">
              <w:rPr>
                <w:color w:val="FFFFFF" w:themeColor="background1"/>
              </w:rPr>
              <w:t>Subcategory</w:t>
            </w:r>
          </w:p>
        </w:tc>
        <w:tc>
          <w:tcPr>
            <w:tcW w:w="6305" w:type="dxa"/>
            <w:shd w:val="clear" w:color="auto" w:fill="0066FF"/>
          </w:tcPr>
          <w:p w14:paraId="197A9427" w14:textId="77777777" w:rsidR="00A807EB" w:rsidRPr="00243F2E" w:rsidRDefault="00A807EB" w:rsidP="0019052C">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243F2E">
              <w:rPr>
                <w:color w:val="FFFFFF" w:themeColor="background1"/>
              </w:rPr>
              <w:t xml:space="preserve">Applicability to </w:t>
            </w:r>
            <w:r w:rsidRPr="0054579D">
              <w:rPr>
                <w:color w:val="FFFFFF" w:themeColor="background1"/>
              </w:rPr>
              <w:t>SOC</w:t>
            </w:r>
          </w:p>
        </w:tc>
        <w:tc>
          <w:tcPr>
            <w:tcW w:w="4038" w:type="dxa"/>
            <w:shd w:val="clear" w:color="auto" w:fill="0066FF"/>
          </w:tcPr>
          <w:p w14:paraId="0E926334" w14:textId="77777777" w:rsidR="00A807EB" w:rsidRPr="00243F2E" w:rsidRDefault="00A807EB" w:rsidP="0019052C">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243F2E">
              <w:rPr>
                <w:color w:val="FFFFFF" w:themeColor="background1"/>
              </w:rPr>
              <w:t>References</w:t>
            </w:r>
          </w:p>
        </w:tc>
      </w:tr>
      <w:tr w:rsidR="00A807EB" w14:paraId="24B51357" w14:textId="77777777" w:rsidTr="76641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5E66DBE3" w14:textId="73535EE3" w:rsidR="00A807EB" w:rsidRDefault="005D2F80" w:rsidP="0019052C">
            <w:pPr>
              <w:ind w:left="0" w:firstLine="0"/>
            </w:pPr>
            <w:r w:rsidRPr="005D2F80">
              <w:t>ID.RA-1: Asset vulnerabilities are identified and documented</w:t>
            </w:r>
            <w:r>
              <w:t>.</w:t>
            </w:r>
          </w:p>
        </w:tc>
        <w:tc>
          <w:tcPr>
            <w:tcW w:w="6305" w:type="dxa"/>
          </w:tcPr>
          <w:p w14:paraId="2B0E76BF" w14:textId="2C54D71B" w:rsidR="00A807EB" w:rsidRDefault="749F6522" w:rsidP="0019052C">
            <w:pPr>
              <w:ind w:left="0" w:firstLine="0"/>
              <w:cnfStyle w:val="000000100000" w:firstRow="0" w:lastRow="0" w:firstColumn="0" w:lastColumn="0" w:oddVBand="0" w:evenVBand="0" w:oddHBand="1" w:evenHBand="0" w:firstRowFirstColumn="0" w:firstRowLastColumn="0" w:lastRowFirstColumn="0" w:lastRowLastColumn="0"/>
            </w:pPr>
            <w:r>
              <w:t xml:space="preserve">Identify, document, and report vulnerabilities that exist on the C2 system and the system that transmits commands to and receives acknowledgements from the satellites. </w:t>
            </w:r>
            <w:r w:rsidR="41725CA5">
              <w:t xml:space="preserve">Vulnerability scanning is normally done on </w:t>
            </w:r>
            <w:r>
              <w:t>a representative system</w:t>
            </w:r>
            <w:r w:rsidR="41725CA5">
              <w:t>, but if safe and feasible may be done on the operational system.</w:t>
            </w:r>
            <w:r>
              <w:t xml:space="preserve"> Testing and characterization to assess system vulnerabilities are recommended </w:t>
            </w:r>
            <w:r w:rsidR="41725CA5">
              <w:t>on a periodic basis and</w:t>
            </w:r>
            <w:r>
              <w:t xml:space="preserve"> when there are modifications to the system.</w:t>
            </w:r>
          </w:p>
        </w:tc>
        <w:tc>
          <w:tcPr>
            <w:tcW w:w="4038" w:type="dxa"/>
          </w:tcPr>
          <w:p w14:paraId="503C060D" w14:textId="5D8B19AB" w:rsidR="00A807EB" w:rsidRDefault="75F9F83A" w:rsidP="2D9AAC23">
            <w:pPr>
              <w:spacing w:line="257" w:lineRule="auto"/>
              <w:jc w:val="both"/>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2D9AAC23">
              <w:rPr>
                <w:b/>
                <w:bCs/>
                <w:color w:val="000000" w:themeColor="text1"/>
                <w:szCs w:val="24"/>
              </w:rPr>
              <w:t xml:space="preserve">NIST SP 800-53 Rev. 5 </w:t>
            </w:r>
            <w:r w:rsidRPr="2D9AAC23">
              <w:rPr>
                <w:color w:val="000000" w:themeColor="text1"/>
                <w:szCs w:val="24"/>
              </w:rPr>
              <w:t>CA-2, CA-7, CA-8, PM-15, RA-3, RA-5, SA-5, SA-11, SI-2, SI4, SI-5</w:t>
            </w:r>
          </w:p>
          <w:p w14:paraId="64EE4AB6" w14:textId="6D128C26" w:rsidR="00A807EB" w:rsidRDefault="00A807EB" w:rsidP="2D9AAC23">
            <w:pPr>
              <w:spacing w:line="257" w:lineRule="auto"/>
              <w:jc w:val="both"/>
              <w:cnfStyle w:val="000000100000" w:firstRow="0" w:lastRow="0" w:firstColumn="0" w:lastColumn="0" w:oddVBand="0" w:evenVBand="0" w:oddHBand="1" w:evenHBand="0" w:firstRowFirstColumn="0" w:firstRowLastColumn="0" w:lastRowFirstColumn="0" w:lastRowLastColumn="0"/>
              <w:rPr>
                <w:strike/>
                <w:color w:val="000000" w:themeColor="text1"/>
                <w:szCs w:val="24"/>
              </w:rPr>
            </w:pPr>
          </w:p>
        </w:tc>
      </w:tr>
      <w:tr w:rsidR="00A807EB" w14:paraId="1EC7A854" w14:textId="77777777" w:rsidTr="766416E5">
        <w:tc>
          <w:tcPr>
            <w:cnfStyle w:val="001000000000" w:firstRow="0" w:lastRow="0" w:firstColumn="1" w:lastColumn="0" w:oddVBand="0" w:evenVBand="0" w:oddHBand="0" w:evenHBand="0" w:firstRowFirstColumn="0" w:firstRowLastColumn="0" w:lastRowFirstColumn="0" w:lastRowLastColumn="0"/>
            <w:tcW w:w="2696" w:type="dxa"/>
          </w:tcPr>
          <w:p w14:paraId="51B3C7AC" w14:textId="03BA8733" w:rsidR="00A807EB" w:rsidRDefault="005D2F80" w:rsidP="0019052C">
            <w:pPr>
              <w:ind w:left="0" w:firstLine="0"/>
            </w:pPr>
            <w:r>
              <w:t xml:space="preserve">ID.RA-2: Cyber threat intelligence is received from information </w:t>
            </w:r>
            <w:r>
              <w:lastRenderedPageBreak/>
              <w:t>sharing forums and sources.</w:t>
            </w:r>
          </w:p>
        </w:tc>
        <w:tc>
          <w:tcPr>
            <w:tcW w:w="6305" w:type="dxa"/>
          </w:tcPr>
          <w:p w14:paraId="78FFEDDE" w14:textId="20991EF6" w:rsidR="00A807EB" w:rsidRDefault="00A2487A" w:rsidP="0019052C">
            <w:pPr>
              <w:ind w:left="0" w:firstLine="0"/>
              <w:cnfStyle w:val="000000000000" w:firstRow="0" w:lastRow="0" w:firstColumn="0" w:lastColumn="0" w:oddVBand="0" w:evenVBand="0" w:oddHBand="0" w:evenHBand="0" w:firstRowFirstColumn="0" w:firstRowLastColumn="0" w:lastRowFirstColumn="0" w:lastRowLastColumn="0"/>
            </w:pPr>
            <w:r w:rsidRPr="00A2487A">
              <w:lastRenderedPageBreak/>
              <w:t xml:space="preserve">Commercial entities use resources such as reports generated by vendors, public interest groups or not for profit industry </w:t>
            </w:r>
            <w:r w:rsidRPr="00A2487A">
              <w:lastRenderedPageBreak/>
              <w:t>associations.</w:t>
            </w:r>
            <w:r>
              <w:t xml:space="preserve"> In some cases,</w:t>
            </w:r>
            <w:r w:rsidR="00B01DBA">
              <w:t xml:space="preserve"> threat</w:t>
            </w:r>
            <w:r>
              <w:t xml:space="preserve"> intelligence may be received from </w:t>
            </w:r>
            <w:r w:rsidR="00B01DBA">
              <w:t xml:space="preserve">national sources through appropriate channels.  </w:t>
            </w:r>
          </w:p>
        </w:tc>
        <w:tc>
          <w:tcPr>
            <w:tcW w:w="4038" w:type="dxa"/>
          </w:tcPr>
          <w:p w14:paraId="58F2336A" w14:textId="007A711D" w:rsidR="00A807EB" w:rsidRDefault="772673C0" w:rsidP="00AC7202">
            <w:pPr>
              <w:spacing w:after="0"/>
              <w:ind w:left="0" w:firstLine="0"/>
              <w:cnfStyle w:val="000000000000" w:firstRow="0" w:lastRow="0" w:firstColumn="0" w:lastColumn="0" w:oddVBand="0" w:evenVBand="0" w:oddHBand="0" w:evenHBand="0" w:firstRowFirstColumn="0" w:firstRowLastColumn="0" w:lastRowFirstColumn="0" w:lastRowLastColumn="0"/>
              <w:rPr>
                <w:b/>
                <w:bCs/>
                <w:color w:val="000000" w:themeColor="text1"/>
                <w:szCs w:val="24"/>
              </w:rPr>
            </w:pPr>
            <w:r w:rsidRPr="2D9AAC23">
              <w:rPr>
                <w:b/>
                <w:bCs/>
                <w:color w:val="000000" w:themeColor="text1"/>
                <w:szCs w:val="24"/>
              </w:rPr>
              <w:lastRenderedPageBreak/>
              <w:t xml:space="preserve">ICS-CERT </w:t>
            </w:r>
          </w:p>
          <w:p w14:paraId="5CBFE00F" w14:textId="42BDFDA7" w:rsidR="00A807EB" w:rsidRDefault="772673C0" w:rsidP="00AC7202">
            <w:pPr>
              <w:spacing w:after="0"/>
              <w:ind w:left="0" w:firstLine="0"/>
              <w:cnfStyle w:val="000000000000" w:firstRow="0" w:lastRow="0" w:firstColumn="0" w:lastColumn="0" w:oddVBand="0" w:evenVBand="0" w:oddHBand="0" w:evenHBand="0" w:firstRowFirstColumn="0" w:firstRowLastColumn="0" w:lastRowFirstColumn="0" w:lastRowLastColumn="0"/>
              <w:rPr>
                <w:b/>
                <w:bCs/>
                <w:color w:val="000000" w:themeColor="text1"/>
                <w:szCs w:val="24"/>
              </w:rPr>
            </w:pPr>
            <w:r w:rsidRPr="2D9AAC23">
              <w:rPr>
                <w:b/>
                <w:bCs/>
                <w:color w:val="000000" w:themeColor="text1"/>
                <w:szCs w:val="24"/>
              </w:rPr>
              <w:t xml:space="preserve">NCCIC </w:t>
            </w:r>
          </w:p>
          <w:p w14:paraId="0D555C6E" w14:textId="39F291EC" w:rsidR="00A807EB" w:rsidRDefault="772673C0" w:rsidP="00AC7202">
            <w:pPr>
              <w:spacing w:after="0"/>
              <w:ind w:left="0" w:firstLine="0"/>
              <w:cnfStyle w:val="000000000000" w:firstRow="0" w:lastRow="0" w:firstColumn="0" w:lastColumn="0" w:oddVBand="0" w:evenVBand="0" w:oddHBand="0" w:evenHBand="0" w:firstRowFirstColumn="0" w:firstRowLastColumn="0" w:lastRowFirstColumn="0" w:lastRowLastColumn="0"/>
              <w:rPr>
                <w:b/>
                <w:bCs/>
                <w:color w:val="000000" w:themeColor="text1"/>
                <w:szCs w:val="24"/>
              </w:rPr>
            </w:pPr>
            <w:r w:rsidRPr="2D9AAC23">
              <w:rPr>
                <w:b/>
                <w:bCs/>
                <w:color w:val="000000" w:themeColor="text1"/>
                <w:szCs w:val="24"/>
              </w:rPr>
              <w:t xml:space="preserve">NIST SP 800-53 Rev. 5 </w:t>
            </w:r>
            <w:r w:rsidRPr="2D9AAC23">
              <w:rPr>
                <w:color w:val="000000" w:themeColor="text1"/>
                <w:szCs w:val="24"/>
              </w:rPr>
              <w:t>PM-15, PM-16</w:t>
            </w:r>
          </w:p>
        </w:tc>
      </w:tr>
      <w:tr w:rsidR="00A807EB" w14:paraId="2AE7D87A" w14:textId="77777777" w:rsidTr="00B069D0">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2696" w:type="dxa"/>
          </w:tcPr>
          <w:p w14:paraId="6C91531D" w14:textId="50472A10" w:rsidR="00A807EB" w:rsidRDefault="005D2F80" w:rsidP="0019052C">
            <w:pPr>
              <w:ind w:left="0" w:firstLine="0"/>
            </w:pPr>
            <w:r>
              <w:t>ID.RA-3: Threats, both internal and external, are identified and documented.</w:t>
            </w:r>
          </w:p>
        </w:tc>
        <w:tc>
          <w:tcPr>
            <w:tcW w:w="6305" w:type="dxa"/>
          </w:tcPr>
          <w:p w14:paraId="1E2E6D02" w14:textId="1053F927" w:rsidR="00A807EB" w:rsidRDefault="00A770FE" w:rsidP="0019052C">
            <w:pPr>
              <w:ind w:left="0" w:firstLine="0"/>
              <w:cnfStyle w:val="000000100000" w:firstRow="0" w:lastRow="0" w:firstColumn="0" w:lastColumn="0" w:oddVBand="0" w:evenVBand="0" w:oddHBand="1" w:evenHBand="0" w:firstRowFirstColumn="0" w:firstRowLastColumn="0" w:lastRowFirstColumn="0" w:lastRowLastColumn="0"/>
            </w:pPr>
            <w:r>
              <w:t xml:space="preserve">Threat identification and documentation is not limited to malicious or threats to information systems.  Need to consider natural disasters, accidents etc.  </w:t>
            </w:r>
          </w:p>
        </w:tc>
        <w:tc>
          <w:tcPr>
            <w:tcW w:w="4038" w:type="dxa"/>
          </w:tcPr>
          <w:p w14:paraId="6E3724B5" w14:textId="77777777" w:rsidR="00AC7202" w:rsidRDefault="2DF51E4B" w:rsidP="00AC7202">
            <w:pPr>
              <w:spacing w:after="0"/>
              <w:ind w:left="0" w:firstLine="0"/>
              <w:cnfStyle w:val="000000100000" w:firstRow="0" w:lastRow="0" w:firstColumn="0" w:lastColumn="0" w:oddVBand="0" w:evenVBand="0" w:oddHBand="1" w:evenHBand="0" w:firstRowFirstColumn="0" w:firstRowLastColumn="0" w:lastRowFirstColumn="0" w:lastRowLastColumn="0"/>
            </w:pPr>
            <w:r>
              <w:t xml:space="preserve">DIA  </w:t>
            </w:r>
          </w:p>
          <w:p w14:paraId="4515784D" w14:textId="1A7A2650" w:rsidR="00A807EB" w:rsidRPr="00AC7202" w:rsidRDefault="2DF51E4B" w:rsidP="00AC7202">
            <w:pPr>
              <w:spacing w:after="0"/>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2D9AAC23">
              <w:rPr>
                <w:color w:val="000000" w:themeColor="text1"/>
                <w:szCs w:val="24"/>
              </w:rPr>
              <w:t xml:space="preserve">NASIC  </w:t>
            </w:r>
          </w:p>
          <w:p w14:paraId="57FFF7AF" w14:textId="0001C857" w:rsidR="00A807EB" w:rsidRDefault="2DF51E4B" w:rsidP="00AC7202">
            <w:pPr>
              <w:spacing w:after="0"/>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2D9AAC23">
              <w:rPr>
                <w:color w:val="000000" w:themeColor="text1"/>
                <w:szCs w:val="24"/>
              </w:rPr>
              <w:t xml:space="preserve">NIST SP 800-37 2 </w:t>
            </w:r>
          </w:p>
          <w:p w14:paraId="48FD9C37" w14:textId="72C60CF7" w:rsidR="00A807EB" w:rsidRDefault="2DF51E4B" w:rsidP="00AC7202">
            <w:pPr>
              <w:spacing w:after="0"/>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2D9AAC23">
              <w:rPr>
                <w:color w:val="000000" w:themeColor="text1"/>
                <w:szCs w:val="24"/>
              </w:rPr>
              <w:t xml:space="preserve">NIST SP 800-53 Rev. 5 PM-12, PM16, RA-3, SI-5 </w:t>
            </w:r>
          </w:p>
          <w:p w14:paraId="60F05AC7" w14:textId="41B9DA1F" w:rsidR="00A807EB" w:rsidRDefault="2DF51E4B" w:rsidP="00AC7202">
            <w:pPr>
              <w:spacing w:after="0"/>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2D9AAC23">
              <w:rPr>
                <w:color w:val="000000" w:themeColor="text1"/>
                <w:szCs w:val="24"/>
              </w:rPr>
              <w:t xml:space="preserve">NIST SP 800-160 Rev. 1 2.3 </w:t>
            </w:r>
          </w:p>
          <w:p w14:paraId="7618A7BC" w14:textId="0BA5F67F" w:rsidR="00A807EB" w:rsidRPr="00B069D0" w:rsidRDefault="2DF51E4B" w:rsidP="00B069D0">
            <w:pPr>
              <w:spacing w:after="0"/>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rPr>
            </w:pPr>
            <w:r w:rsidRPr="2D9AAC23">
              <w:rPr>
                <w:color w:val="000000" w:themeColor="text1"/>
                <w:szCs w:val="24"/>
                <w:highlight w:val="yellow"/>
              </w:rPr>
              <w:t>RTCA 235 4-12</w:t>
            </w:r>
            <w:commentRangeStart w:id="4"/>
            <w:commentRangeEnd w:id="4"/>
            <w:r w:rsidR="00A807EB">
              <w:rPr>
                <w:rStyle w:val="CommentReference"/>
              </w:rPr>
              <w:commentReference w:id="4"/>
            </w:r>
          </w:p>
        </w:tc>
      </w:tr>
      <w:tr w:rsidR="00A807EB" w14:paraId="757AADFE" w14:textId="77777777" w:rsidTr="766416E5">
        <w:tc>
          <w:tcPr>
            <w:cnfStyle w:val="001000000000" w:firstRow="0" w:lastRow="0" w:firstColumn="1" w:lastColumn="0" w:oddVBand="0" w:evenVBand="0" w:oddHBand="0" w:evenHBand="0" w:firstRowFirstColumn="0" w:firstRowLastColumn="0" w:lastRowFirstColumn="0" w:lastRowLastColumn="0"/>
            <w:tcW w:w="2696" w:type="dxa"/>
          </w:tcPr>
          <w:p w14:paraId="1B68797E" w14:textId="1D2AC1BA" w:rsidR="00A807EB" w:rsidRDefault="005D2F80" w:rsidP="0019052C">
            <w:pPr>
              <w:ind w:left="0" w:firstLine="0"/>
            </w:pPr>
            <w:r>
              <w:t>ID.RA-4: Potential business impacts and likelihoods are identified.</w:t>
            </w:r>
          </w:p>
        </w:tc>
        <w:tc>
          <w:tcPr>
            <w:tcW w:w="6305" w:type="dxa"/>
          </w:tcPr>
          <w:p w14:paraId="1209A0F5" w14:textId="3AB96FEA" w:rsidR="00A807EB" w:rsidRDefault="00A770FE" w:rsidP="0019052C">
            <w:pPr>
              <w:ind w:left="0" w:firstLine="0"/>
              <w:cnfStyle w:val="000000000000" w:firstRow="0" w:lastRow="0" w:firstColumn="0" w:lastColumn="0" w:oddVBand="0" w:evenVBand="0" w:oddHBand="0" w:evenHBand="0" w:firstRowFirstColumn="0" w:firstRowLastColumn="0" w:lastRowFirstColumn="0" w:lastRowLastColumn="0"/>
            </w:pPr>
            <w:r>
              <w:t xml:space="preserve">Stakeholders need to be made aware that this type of analysis is probabilistic and typically a range (not a discrete value).  The impact analysis needs to be updated as the organization’s business evolves. Likelihood is impacted by externalities such as a time of peace vs. a time of heightened tensions. </w:t>
            </w:r>
            <w:r w:rsidR="00CA37C8">
              <w:t xml:space="preserve"> For malicious threat agents, likelihood is a function of capability and intent.  Assessments should be updated as a threat agent’s capabilities increase and events that may affect the intent.  </w:t>
            </w:r>
          </w:p>
        </w:tc>
        <w:tc>
          <w:tcPr>
            <w:tcW w:w="4038" w:type="dxa"/>
          </w:tcPr>
          <w:p w14:paraId="124D75FE" w14:textId="446BB1BA" w:rsidR="00A807EB" w:rsidRDefault="03F871D3" w:rsidP="0019052C">
            <w:pPr>
              <w:ind w:left="0" w:firstLine="0"/>
              <w:cnfStyle w:val="000000000000" w:firstRow="0" w:lastRow="0" w:firstColumn="0" w:lastColumn="0" w:oddVBand="0" w:evenVBand="0" w:oddHBand="0" w:evenHBand="0" w:firstRowFirstColumn="0" w:firstRowLastColumn="0" w:lastRowFirstColumn="0" w:lastRowLastColumn="0"/>
            </w:pPr>
            <w:r w:rsidRPr="00AC7202">
              <w:rPr>
                <w:b/>
                <w:bCs/>
              </w:rPr>
              <w:t>NIST SP 800-53 Rev. 5</w:t>
            </w:r>
            <w:r>
              <w:t xml:space="preserve"> CP-2, PM9, PM-11, PM-9, RA-2, RA-3, RA-9 </w:t>
            </w:r>
          </w:p>
          <w:p w14:paraId="167083BD" w14:textId="425C7518" w:rsidR="00A807EB" w:rsidRDefault="03F871D3" w:rsidP="2D9AAC23">
            <w:pPr>
              <w:ind w:left="0" w:firstLine="0"/>
              <w:cnfStyle w:val="000000000000" w:firstRow="0" w:lastRow="0" w:firstColumn="0" w:lastColumn="0" w:oddVBand="0" w:evenVBand="0" w:oddHBand="0" w:evenHBand="0" w:firstRowFirstColumn="0" w:firstRowLastColumn="0" w:lastRowFirstColumn="0" w:lastRowLastColumn="0"/>
            </w:pPr>
            <w:r>
              <w:t>RTCA 235 2.1,13</w:t>
            </w:r>
          </w:p>
        </w:tc>
      </w:tr>
      <w:tr w:rsidR="005D2F80" w14:paraId="506B7E23" w14:textId="77777777" w:rsidTr="76641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58A690D9" w14:textId="0D7DBC55" w:rsidR="005D2F80" w:rsidRDefault="005D2F80" w:rsidP="0019052C">
            <w:pPr>
              <w:ind w:left="0" w:firstLine="0"/>
            </w:pPr>
            <w:r w:rsidRPr="005D2F80">
              <w:t>ID.RA-5: Threats, vulnerabilities, likelihoods, and impacts are used to determine risk</w:t>
            </w:r>
            <w:r>
              <w:t>.</w:t>
            </w:r>
          </w:p>
        </w:tc>
        <w:tc>
          <w:tcPr>
            <w:tcW w:w="6305" w:type="dxa"/>
          </w:tcPr>
          <w:p w14:paraId="3A56B643" w14:textId="5B4F2F87" w:rsidR="005D2F80" w:rsidRDefault="00CA37C8" w:rsidP="0019052C">
            <w:pPr>
              <w:ind w:left="0" w:firstLine="0"/>
              <w:cnfStyle w:val="000000100000" w:firstRow="0" w:lastRow="0" w:firstColumn="0" w:lastColumn="0" w:oddVBand="0" w:evenVBand="0" w:oddHBand="1" w:evenHBand="0" w:firstRowFirstColumn="0" w:firstRowLastColumn="0" w:lastRowFirstColumn="0" w:lastRowLastColumn="0"/>
            </w:pPr>
            <w:r w:rsidRPr="00CA37C8">
              <w:t>The risk determination</w:t>
            </w:r>
            <w:r>
              <w:t xml:space="preserve"> </w:t>
            </w:r>
            <w:r w:rsidRPr="00CA37C8">
              <w:t xml:space="preserve">requires a coordinated effort between the threat analysts (for capability and intent of threat agents), system designers (for vulnerability assessment) and mission owner (for impact).  </w:t>
            </w:r>
          </w:p>
          <w:p w14:paraId="090FC5D4" w14:textId="7A96B2C4" w:rsidR="00CA37C8" w:rsidRDefault="00CA37C8" w:rsidP="0019052C">
            <w:pPr>
              <w:ind w:left="0" w:firstLine="0"/>
              <w:cnfStyle w:val="000000100000" w:firstRow="0" w:lastRow="0" w:firstColumn="0" w:lastColumn="0" w:oddVBand="0" w:evenVBand="0" w:oddHBand="1" w:evenHBand="0" w:firstRowFirstColumn="0" w:firstRowLastColumn="0" w:lastRowFirstColumn="0" w:lastRowLastColumn="0"/>
            </w:pPr>
            <w:r>
              <w:t xml:space="preserve">The risk should be reassessed on a periodic basis, when there is a substantive change to the system’s vulnerabilities (such as an equipment upgrade), a change in the likelihood of threat realization (such as a time of international tension), a change in the impact should a threat be realized (such as an </w:t>
            </w:r>
            <w:r>
              <w:lastRenderedPageBreak/>
              <w:t xml:space="preserve">organization’s increased use or dependency on the satellites’ payload services), </w:t>
            </w:r>
            <w:r w:rsidR="00BD045B">
              <w:t xml:space="preserve">and </w:t>
            </w:r>
            <w:r>
              <w:t xml:space="preserve">as a result of lessons learned from recovery actions.  </w:t>
            </w:r>
          </w:p>
        </w:tc>
        <w:tc>
          <w:tcPr>
            <w:tcW w:w="4038" w:type="dxa"/>
          </w:tcPr>
          <w:p w14:paraId="4FCB4E04" w14:textId="43E3CFC1" w:rsidR="005D2F80" w:rsidRDefault="5885AEAC" w:rsidP="0019052C">
            <w:pPr>
              <w:ind w:left="0" w:firstLine="0"/>
              <w:cnfStyle w:val="000000100000" w:firstRow="0" w:lastRow="0" w:firstColumn="0" w:lastColumn="0" w:oddVBand="0" w:evenVBand="0" w:oddHBand="1" w:evenHBand="0" w:firstRowFirstColumn="0" w:firstRowLastColumn="0" w:lastRowFirstColumn="0" w:lastRowLastColumn="0"/>
            </w:pPr>
            <w:r w:rsidRPr="00AC7202">
              <w:rPr>
                <w:b/>
                <w:bCs/>
              </w:rPr>
              <w:lastRenderedPageBreak/>
              <w:t>IETF 8915</w:t>
            </w:r>
            <w:r>
              <w:t xml:space="preserve"> 3-9  </w:t>
            </w:r>
          </w:p>
          <w:p w14:paraId="5841E9BC" w14:textId="2B76DF0F" w:rsidR="005D2F80" w:rsidRDefault="318CB254" w:rsidP="0019052C">
            <w:pPr>
              <w:ind w:left="0" w:firstLine="0"/>
              <w:cnfStyle w:val="000000100000" w:firstRow="0" w:lastRow="0" w:firstColumn="0" w:lastColumn="0" w:oddVBand="0" w:evenVBand="0" w:oddHBand="1" w:evenHBand="0" w:firstRowFirstColumn="0" w:firstRowLastColumn="0" w:lastRowFirstColumn="0" w:lastRowLastColumn="0"/>
            </w:pPr>
            <w:r w:rsidRPr="00AC7202">
              <w:rPr>
                <w:b/>
                <w:bCs/>
              </w:rPr>
              <w:t>NIST SP 800-53 Rev. 5</w:t>
            </w:r>
            <w:r>
              <w:t xml:space="preserve"> CA-2, CA-7, PM16, PM-28, RA-2 </w:t>
            </w:r>
          </w:p>
          <w:p w14:paraId="64390702" w14:textId="046552FB" w:rsidR="005D2F80" w:rsidRDefault="5885AEAC" w:rsidP="0019052C">
            <w:pPr>
              <w:ind w:left="0" w:firstLine="0"/>
              <w:cnfStyle w:val="000000100000" w:firstRow="0" w:lastRow="0" w:firstColumn="0" w:lastColumn="0" w:oddVBand="0" w:evenVBand="0" w:oddHBand="1" w:evenHBand="0" w:firstRowFirstColumn="0" w:firstRowLastColumn="0" w:lastRowFirstColumn="0" w:lastRowLastColumn="0"/>
            </w:pPr>
            <w:r w:rsidRPr="00AC7202">
              <w:rPr>
                <w:b/>
                <w:bCs/>
              </w:rPr>
              <w:t>NIST SP 800-160 Rev. 1</w:t>
            </w:r>
            <w:r>
              <w:t xml:space="preserve"> 2.3, 2.4 </w:t>
            </w:r>
          </w:p>
          <w:p w14:paraId="3D250632" w14:textId="33E9B9F0" w:rsidR="005D2F80" w:rsidRDefault="5885AEAC" w:rsidP="2D9AAC23">
            <w:pPr>
              <w:ind w:left="0" w:firstLine="0"/>
              <w:cnfStyle w:val="000000100000" w:firstRow="0" w:lastRow="0" w:firstColumn="0" w:lastColumn="0" w:oddVBand="0" w:evenVBand="0" w:oddHBand="1" w:evenHBand="0" w:firstRowFirstColumn="0" w:firstRowLastColumn="0" w:lastRowFirstColumn="0" w:lastRowLastColumn="0"/>
            </w:pPr>
            <w:r w:rsidRPr="00AC7202">
              <w:rPr>
                <w:b/>
                <w:bCs/>
              </w:rPr>
              <w:t>RTCA 235</w:t>
            </w:r>
            <w:r>
              <w:t xml:space="preserve"> 2.1-2.4, 3, 14</w:t>
            </w:r>
          </w:p>
        </w:tc>
      </w:tr>
      <w:tr w:rsidR="005D2F80" w14:paraId="1C78BE38" w14:textId="77777777" w:rsidTr="766416E5">
        <w:tc>
          <w:tcPr>
            <w:cnfStyle w:val="001000000000" w:firstRow="0" w:lastRow="0" w:firstColumn="1" w:lastColumn="0" w:oddVBand="0" w:evenVBand="0" w:oddHBand="0" w:evenHBand="0" w:firstRowFirstColumn="0" w:firstRowLastColumn="0" w:lastRowFirstColumn="0" w:lastRowLastColumn="0"/>
            <w:tcW w:w="2696" w:type="dxa"/>
          </w:tcPr>
          <w:p w14:paraId="012E8D91" w14:textId="5364A735" w:rsidR="005D2F80" w:rsidRPr="005D2F80" w:rsidRDefault="005D2F80" w:rsidP="0019052C">
            <w:pPr>
              <w:ind w:left="0" w:firstLine="0"/>
            </w:pPr>
            <w:r w:rsidRPr="005D2F80">
              <w:t>ID.RA-6: Risk responses are identified and prioritized</w:t>
            </w:r>
            <w:r>
              <w:t>.</w:t>
            </w:r>
          </w:p>
        </w:tc>
        <w:tc>
          <w:tcPr>
            <w:tcW w:w="6305" w:type="dxa"/>
          </w:tcPr>
          <w:p w14:paraId="71F9A247" w14:textId="5EED6832" w:rsidR="005D2F80" w:rsidRDefault="00CA37C8" w:rsidP="0019052C">
            <w:pPr>
              <w:ind w:left="0" w:firstLine="0"/>
              <w:cnfStyle w:val="000000000000" w:firstRow="0" w:lastRow="0" w:firstColumn="0" w:lastColumn="0" w:oddVBand="0" w:evenVBand="0" w:oddHBand="0" w:evenHBand="0" w:firstRowFirstColumn="0" w:firstRowLastColumn="0" w:lastRowFirstColumn="0" w:lastRowLastColumn="0"/>
            </w:pPr>
            <w:r>
              <w:t xml:space="preserve">Risk responses may include activities such as increase protection measures, address vulnerabilities through technical or operational means or accept the risk.   </w:t>
            </w:r>
          </w:p>
        </w:tc>
        <w:tc>
          <w:tcPr>
            <w:tcW w:w="4038" w:type="dxa"/>
          </w:tcPr>
          <w:p w14:paraId="10D37D40" w14:textId="5B89E79A" w:rsidR="005D2F80" w:rsidRDefault="00BF2D2A" w:rsidP="0019052C">
            <w:pPr>
              <w:ind w:left="0" w:firstLine="0"/>
              <w:cnfStyle w:val="000000000000" w:firstRow="0" w:lastRow="0" w:firstColumn="0" w:lastColumn="0" w:oddVBand="0" w:evenVBand="0" w:oddHBand="0" w:evenHBand="0" w:firstRowFirstColumn="0" w:firstRowLastColumn="0" w:lastRowFirstColumn="0" w:lastRowLastColumn="0"/>
            </w:pPr>
            <w:r w:rsidRPr="2D9AAC23">
              <w:rPr>
                <w:b/>
                <w:bCs/>
                <w:color w:val="000000" w:themeColor="text1"/>
                <w:szCs w:val="24"/>
              </w:rPr>
              <w:t>NIST SP 800-53 Rev. 5</w:t>
            </w:r>
            <w:r w:rsidRPr="2D9AAC23">
              <w:rPr>
                <w:color w:val="000000" w:themeColor="text1"/>
                <w:szCs w:val="24"/>
              </w:rPr>
              <w:t>,</w:t>
            </w:r>
            <w:r>
              <w:rPr>
                <w:color w:val="000000" w:themeColor="text1"/>
                <w:szCs w:val="24"/>
              </w:rPr>
              <w:t xml:space="preserve"> </w:t>
            </w:r>
            <w:r w:rsidRPr="00BF2D2A">
              <w:rPr>
                <w:color w:val="000000" w:themeColor="text1"/>
                <w:szCs w:val="24"/>
              </w:rPr>
              <w:t>CA-5, PM-4, PM-9, PM-28, RA-7</w:t>
            </w:r>
          </w:p>
        </w:tc>
      </w:tr>
    </w:tbl>
    <w:p w14:paraId="486AF146" w14:textId="147BCC29" w:rsidR="00F61BB4" w:rsidRDefault="00F61BB4">
      <w:pPr>
        <w:spacing w:after="218" w:line="259" w:lineRule="auto"/>
        <w:ind w:left="0" w:firstLine="0"/>
      </w:pPr>
    </w:p>
    <w:p w14:paraId="6A996047" w14:textId="6660F277" w:rsidR="00D70BBC" w:rsidRDefault="00D70BBC" w:rsidP="00D70BBC">
      <w:pPr>
        <w:spacing w:after="217" w:line="259" w:lineRule="auto"/>
        <w:ind w:left="-5"/>
      </w:pPr>
      <w:r>
        <w:rPr>
          <w:rFonts w:ascii="Arial" w:eastAsia="Arial" w:hAnsi="Arial" w:cs="Arial"/>
          <w:b/>
          <w:sz w:val="22"/>
        </w:rPr>
        <w:t xml:space="preserve">4.1.5 </w:t>
      </w:r>
      <w:r>
        <w:rPr>
          <w:rFonts w:ascii="Arial" w:eastAsia="Arial" w:hAnsi="Arial" w:cs="Arial"/>
          <w:b/>
        </w:rPr>
        <w:t xml:space="preserve">Risk Management </w:t>
      </w:r>
      <w:r w:rsidR="00E838C7">
        <w:rPr>
          <w:rFonts w:ascii="Arial" w:eastAsia="Arial" w:hAnsi="Arial" w:cs="Arial"/>
          <w:b/>
        </w:rPr>
        <w:t>Strategy</w:t>
      </w:r>
      <w:r>
        <w:rPr>
          <w:rFonts w:ascii="Arial" w:eastAsia="Arial" w:hAnsi="Arial" w:cs="Arial"/>
          <w:b/>
        </w:rPr>
        <w:t xml:space="preserve"> </w:t>
      </w:r>
    </w:p>
    <w:p w14:paraId="17F93571" w14:textId="2216CDD1" w:rsidR="180B56A4" w:rsidRPr="00E600FF" w:rsidRDefault="70E822C3" w:rsidP="2D9AAC23">
      <w:pPr>
        <w:spacing w:after="218" w:line="259" w:lineRule="auto"/>
        <w:ind w:left="0" w:firstLine="0"/>
      </w:pPr>
      <w:r>
        <w:t>The organization’s priorities, constraints, risk tolerances, and assumptions are established and used to support operational risk decisions.</w:t>
      </w:r>
    </w:p>
    <w:tbl>
      <w:tblPr>
        <w:tblStyle w:val="ListTable4-Accent5"/>
        <w:tblW w:w="0" w:type="auto"/>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696"/>
        <w:gridCol w:w="6305"/>
        <w:gridCol w:w="4038"/>
      </w:tblGrid>
      <w:tr w:rsidR="00E838C7" w14:paraId="001A864D" w14:textId="77777777" w:rsidTr="45AF0B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9" w:type="dxa"/>
            <w:gridSpan w:val="3"/>
            <w:shd w:val="clear" w:color="auto" w:fill="0066FF"/>
          </w:tcPr>
          <w:p w14:paraId="08B0C24C" w14:textId="07BD0E99" w:rsidR="00E838C7" w:rsidRPr="0054579D" w:rsidRDefault="00E838C7" w:rsidP="0019052C">
            <w:pPr>
              <w:ind w:left="0" w:firstLine="0"/>
              <w:rPr>
                <w:color w:val="FFFFFF" w:themeColor="background1"/>
              </w:rPr>
            </w:pPr>
            <w:r>
              <w:rPr>
                <w:color w:val="FFFFFF" w:themeColor="background1"/>
              </w:rPr>
              <w:t>Identify:  Risk Management Strategy</w:t>
            </w:r>
          </w:p>
        </w:tc>
      </w:tr>
      <w:tr w:rsidR="00E838C7" w14:paraId="6BD2A5BE" w14:textId="77777777" w:rsidTr="45AF0B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6" w:type="dxa"/>
            <w:shd w:val="clear" w:color="auto" w:fill="0066FF"/>
          </w:tcPr>
          <w:p w14:paraId="149EDD4A" w14:textId="77777777" w:rsidR="00E838C7" w:rsidRPr="0054579D" w:rsidRDefault="00E838C7" w:rsidP="0019052C">
            <w:pPr>
              <w:ind w:left="0" w:firstLine="0"/>
              <w:rPr>
                <w:color w:val="FFFFFF" w:themeColor="background1"/>
              </w:rPr>
            </w:pPr>
            <w:r w:rsidRPr="0054579D">
              <w:rPr>
                <w:color w:val="FFFFFF" w:themeColor="background1"/>
              </w:rPr>
              <w:t>Subcategory</w:t>
            </w:r>
          </w:p>
        </w:tc>
        <w:tc>
          <w:tcPr>
            <w:tcW w:w="6305" w:type="dxa"/>
            <w:shd w:val="clear" w:color="auto" w:fill="0066FF"/>
          </w:tcPr>
          <w:p w14:paraId="2D9C24E5" w14:textId="77777777" w:rsidR="00E838C7" w:rsidRPr="00243F2E" w:rsidRDefault="00E838C7" w:rsidP="0019052C">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243F2E">
              <w:rPr>
                <w:color w:val="FFFFFF" w:themeColor="background1"/>
              </w:rPr>
              <w:t xml:space="preserve">Applicability to </w:t>
            </w:r>
            <w:r w:rsidRPr="0054579D">
              <w:rPr>
                <w:color w:val="FFFFFF" w:themeColor="background1"/>
              </w:rPr>
              <w:t>SOC</w:t>
            </w:r>
          </w:p>
        </w:tc>
        <w:tc>
          <w:tcPr>
            <w:tcW w:w="4038" w:type="dxa"/>
            <w:shd w:val="clear" w:color="auto" w:fill="0066FF"/>
          </w:tcPr>
          <w:p w14:paraId="5A403233" w14:textId="77777777" w:rsidR="00E838C7" w:rsidRPr="00243F2E" w:rsidRDefault="00E838C7" w:rsidP="0019052C">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243F2E">
              <w:rPr>
                <w:color w:val="FFFFFF" w:themeColor="background1"/>
              </w:rPr>
              <w:t>References</w:t>
            </w:r>
          </w:p>
        </w:tc>
      </w:tr>
      <w:tr w:rsidR="00E838C7" w14:paraId="7A168D6A" w14:textId="77777777" w:rsidTr="45AF0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0B2D545A" w14:textId="3FFFE53C" w:rsidR="00E838C7" w:rsidRDefault="00E838C7" w:rsidP="0019052C">
            <w:pPr>
              <w:ind w:left="0" w:firstLine="0"/>
            </w:pPr>
            <w:r w:rsidRPr="00E838C7">
              <w:t>ID.RM-1: Risk management processes are established, managed, and agreed to by organizational stakeholders</w:t>
            </w:r>
            <w:r>
              <w:t>.</w:t>
            </w:r>
          </w:p>
        </w:tc>
        <w:tc>
          <w:tcPr>
            <w:tcW w:w="6305" w:type="dxa"/>
          </w:tcPr>
          <w:p w14:paraId="6509AA94" w14:textId="25E4C43D" w:rsidR="00E838C7" w:rsidRDefault="00E838C7" w:rsidP="0019052C">
            <w:pPr>
              <w:ind w:left="0" w:firstLine="0"/>
              <w:cnfStyle w:val="000000100000" w:firstRow="0" w:lastRow="0" w:firstColumn="0" w:lastColumn="0" w:oddVBand="0" w:evenVBand="0" w:oddHBand="1" w:evenHBand="0" w:firstRowFirstColumn="0" w:firstRowLastColumn="0" w:lastRowFirstColumn="0" w:lastRowLastColumn="0"/>
            </w:pPr>
            <w:r>
              <w:t xml:space="preserve">Risk management procedures will impact how the SOC conducts its risk assessment process, but </w:t>
            </w:r>
            <w:r w:rsidR="183DD4FF">
              <w:t xml:space="preserve">not directly applicable to the SOC because </w:t>
            </w:r>
            <w:r>
              <w:t xml:space="preserve">establishing these processes </w:t>
            </w:r>
            <w:r w:rsidR="183DD4FF">
              <w:t>must consider the space and user segment</w:t>
            </w:r>
            <w:r w:rsidR="50738DEA">
              <w:t xml:space="preserve"> as well</w:t>
            </w:r>
            <w:r w:rsidR="183DD4FF">
              <w:t xml:space="preserve">.  </w:t>
            </w:r>
          </w:p>
        </w:tc>
        <w:tc>
          <w:tcPr>
            <w:tcW w:w="4038" w:type="dxa"/>
          </w:tcPr>
          <w:p w14:paraId="3EE1DE36" w14:textId="25B8CE36" w:rsidR="00E838C7" w:rsidRDefault="00F55149" w:rsidP="0019052C">
            <w:pPr>
              <w:ind w:left="0" w:firstLine="0"/>
              <w:cnfStyle w:val="000000100000" w:firstRow="0" w:lastRow="0" w:firstColumn="0" w:lastColumn="0" w:oddVBand="0" w:evenVBand="0" w:oddHBand="1" w:evenHBand="0" w:firstRowFirstColumn="0" w:firstRowLastColumn="0" w:lastRowFirstColumn="0" w:lastRowLastColumn="0"/>
            </w:pPr>
            <w:r w:rsidRPr="2D9AAC23">
              <w:rPr>
                <w:b/>
                <w:bCs/>
                <w:color w:val="000000" w:themeColor="text1"/>
                <w:szCs w:val="24"/>
              </w:rPr>
              <w:t>NIST SP 800-53 Rev. 5</w:t>
            </w:r>
            <w:r w:rsidRPr="2D9AAC23">
              <w:rPr>
                <w:color w:val="000000" w:themeColor="text1"/>
                <w:szCs w:val="24"/>
              </w:rPr>
              <w:t>,</w:t>
            </w:r>
            <w:r>
              <w:rPr>
                <w:color w:val="000000" w:themeColor="text1"/>
                <w:szCs w:val="24"/>
              </w:rPr>
              <w:t xml:space="preserve"> </w:t>
            </w:r>
            <w:r w:rsidRPr="00F55149">
              <w:rPr>
                <w:color w:val="000000" w:themeColor="text1"/>
                <w:szCs w:val="24"/>
              </w:rPr>
              <w:t>PM-9, PM-28</w:t>
            </w:r>
          </w:p>
        </w:tc>
      </w:tr>
      <w:tr w:rsidR="00E838C7" w14:paraId="0CA54CED" w14:textId="77777777" w:rsidTr="45AF0B48">
        <w:tc>
          <w:tcPr>
            <w:cnfStyle w:val="001000000000" w:firstRow="0" w:lastRow="0" w:firstColumn="1" w:lastColumn="0" w:oddVBand="0" w:evenVBand="0" w:oddHBand="0" w:evenHBand="0" w:firstRowFirstColumn="0" w:firstRowLastColumn="0" w:lastRowFirstColumn="0" w:lastRowLastColumn="0"/>
            <w:tcW w:w="2696" w:type="dxa"/>
          </w:tcPr>
          <w:p w14:paraId="4E3C0681" w14:textId="4D2C98C2" w:rsidR="00E838C7" w:rsidRDefault="00E838C7" w:rsidP="0019052C">
            <w:pPr>
              <w:ind w:left="0" w:firstLine="0"/>
            </w:pPr>
            <w:r w:rsidRPr="00E838C7">
              <w:t xml:space="preserve">ID.RM-2: Organizational risk </w:t>
            </w:r>
            <w:r w:rsidRPr="00E838C7">
              <w:lastRenderedPageBreak/>
              <w:t>tolerance is determined and clearly expressed</w:t>
            </w:r>
            <w:r>
              <w:t>.</w:t>
            </w:r>
          </w:p>
        </w:tc>
        <w:tc>
          <w:tcPr>
            <w:tcW w:w="6305" w:type="dxa"/>
          </w:tcPr>
          <w:p w14:paraId="6FD26B63" w14:textId="298EB9F0" w:rsidR="00E838C7" w:rsidRDefault="183DD4FF" w:rsidP="0019052C">
            <w:pPr>
              <w:ind w:left="0" w:firstLine="0"/>
              <w:cnfStyle w:val="000000000000" w:firstRow="0" w:lastRow="0" w:firstColumn="0" w:lastColumn="0" w:oddVBand="0" w:evenVBand="0" w:oddHBand="0" w:evenHBand="0" w:firstRowFirstColumn="0" w:firstRowLastColumn="0" w:lastRowFirstColumn="0" w:lastRowLastColumn="0"/>
            </w:pPr>
            <w:r>
              <w:lastRenderedPageBreak/>
              <w:t xml:space="preserve">The SOC itself is unlikely to define the organization’s risk tolerance, but the residual risk that is accepted by the SOC will be imposed on the </w:t>
            </w:r>
            <w:r w:rsidR="00BD045B">
              <w:t xml:space="preserve">entire </w:t>
            </w:r>
            <w:r>
              <w:t xml:space="preserve">organization to some degree.  The organizational risk tolerance needs to be clearly expressed to </w:t>
            </w:r>
            <w:r>
              <w:lastRenderedPageBreak/>
              <w:t xml:space="preserve">the SOC to avoid an excessive risk </w:t>
            </w:r>
            <w:r w:rsidR="4CF5A42A">
              <w:t xml:space="preserve">to the space and user segments being introduced by the </w:t>
            </w:r>
            <w:r>
              <w:t>SOC</w:t>
            </w:r>
            <w:r w:rsidR="4F15BFFB">
              <w:t xml:space="preserve">. </w:t>
            </w:r>
            <w:r>
              <w:t xml:space="preserve">   </w:t>
            </w:r>
          </w:p>
        </w:tc>
        <w:tc>
          <w:tcPr>
            <w:tcW w:w="4038" w:type="dxa"/>
          </w:tcPr>
          <w:p w14:paraId="766E9DB6" w14:textId="63F84414" w:rsidR="00E838C7" w:rsidRDefault="00F55149" w:rsidP="0019052C">
            <w:pPr>
              <w:ind w:left="0" w:firstLine="0"/>
              <w:cnfStyle w:val="000000000000" w:firstRow="0" w:lastRow="0" w:firstColumn="0" w:lastColumn="0" w:oddVBand="0" w:evenVBand="0" w:oddHBand="0" w:evenHBand="0" w:firstRowFirstColumn="0" w:firstRowLastColumn="0" w:lastRowFirstColumn="0" w:lastRowLastColumn="0"/>
            </w:pPr>
            <w:r w:rsidRPr="2D9AAC23">
              <w:rPr>
                <w:b/>
                <w:bCs/>
                <w:color w:val="000000" w:themeColor="text1"/>
                <w:szCs w:val="24"/>
              </w:rPr>
              <w:lastRenderedPageBreak/>
              <w:t>NIST SP 800-53 Rev. 5</w:t>
            </w:r>
            <w:r w:rsidRPr="2D9AAC23">
              <w:rPr>
                <w:color w:val="000000" w:themeColor="text1"/>
                <w:szCs w:val="24"/>
              </w:rPr>
              <w:t>,</w:t>
            </w:r>
            <w:r>
              <w:rPr>
                <w:color w:val="000000" w:themeColor="text1"/>
                <w:szCs w:val="24"/>
              </w:rPr>
              <w:t xml:space="preserve"> </w:t>
            </w:r>
            <w:r w:rsidRPr="00F55149">
              <w:rPr>
                <w:color w:val="000000" w:themeColor="text1"/>
                <w:szCs w:val="24"/>
              </w:rPr>
              <w:t>PM-9</w:t>
            </w:r>
          </w:p>
        </w:tc>
      </w:tr>
      <w:tr w:rsidR="00E838C7" w14:paraId="68A57309" w14:textId="77777777" w:rsidTr="45AF0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3C84D2AD" w14:textId="3948B023" w:rsidR="00E838C7" w:rsidRDefault="00E838C7" w:rsidP="0019052C">
            <w:pPr>
              <w:ind w:left="0" w:firstLine="0"/>
            </w:pPr>
            <w:r w:rsidRPr="00E838C7">
              <w:t>ID.RM-3: The organization’s determination of risk tolerance is informed by its role in critical infrastructure and sector specific risk analysis</w:t>
            </w:r>
          </w:p>
        </w:tc>
        <w:tc>
          <w:tcPr>
            <w:tcW w:w="6305" w:type="dxa"/>
          </w:tcPr>
          <w:p w14:paraId="4E9301A0" w14:textId="48FB9CFF" w:rsidR="00E838C7" w:rsidRDefault="005E6202" w:rsidP="0019052C">
            <w:pPr>
              <w:ind w:left="0" w:firstLine="0"/>
              <w:cnfStyle w:val="000000100000" w:firstRow="0" w:lastRow="0" w:firstColumn="0" w:lastColumn="0" w:oddVBand="0" w:evenVBand="0" w:oddHBand="1" w:evenHBand="0" w:firstRowFirstColumn="0" w:firstRowLastColumn="0" w:lastRowFirstColumn="0" w:lastRowLastColumn="0"/>
            </w:pPr>
            <w:r>
              <w:t xml:space="preserve">Not directly applicable to the SOC. </w:t>
            </w:r>
          </w:p>
        </w:tc>
        <w:tc>
          <w:tcPr>
            <w:tcW w:w="4038" w:type="dxa"/>
          </w:tcPr>
          <w:p w14:paraId="78B23B9A" w14:textId="580109E2" w:rsidR="00E838C7" w:rsidRDefault="00F55149" w:rsidP="0019052C">
            <w:pPr>
              <w:ind w:left="0" w:firstLine="0"/>
              <w:cnfStyle w:val="000000100000" w:firstRow="0" w:lastRow="0" w:firstColumn="0" w:lastColumn="0" w:oddVBand="0" w:evenVBand="0" w:oddHBand="1" w:evenHBand="0" w:firstRowFirstColumn="0" w:firstRowLastColumn="0" w:lastRowFirstColumn="0" w:lastRowLastColumn="0"/>
            </w:pPr>
            <w:r w:rsidRPr="2D9AAC23">
              <w:rPr>
                <w:b/>
                <w:bCs/>
                <w:color w:val="000000" w:themeColor="text1"/>
                <w:szCs w:val="24"/>
              </w:rPr>
              <w:t>NIST SP 800-53 Rev. 5</w:t>
            </w:r>
            <w:r w:rsidRPr="2D9AAC23">
              <w:rPr>
                <w:color w:val="000000" w:themeColor="text1"/>
                <w:szCs w:val="24"/>
              </w:rPr>
              <w:t>,</w:t>
            </w:r>
            <w:r>
              <w:rPr>
                <w:color w:val="000000" w:themeColor="text1"/>
                <w:szCs w:val="24"/>
              </w:rPr>
              <w:t xml:space="preserve"> </w:t>
            </w:r>
            <w:r w:rsidRPr="00F55149">
              <w:rPr>
                <w:color w:val="000000" w:themeColor="text1"/>
                <w:szCs w:val="24"/>
              </w:rPr>
              <w:t>PM-8, PM-9, PM-11, RA-9</w:t>
            </w:r>
          </w:p>
        </w:tc>
      </w:tr>
    </w:tbl>
    <w:p w14:paraId="08C1AA59" w14:textId="77777777" w:rsidR="00E838C7" w:rsidRDefault="00E838C7">
      <w:pPr>
        <w:spacing w:after="218" w:line="259" w:lineRule="auto"/>
        <w:ind w:left="0" w:firstLine="0"/>
      </w:pPr>
    </w:p>
    <w:p w14:paraId="49B6E6D1" w14:textId="77777777" w:rsidR="00F61BB4" w:rsidRDefault="0029551D">
      <w:pPr>
        <w:spacing w:after="217" w:line="259" w:lineRule="auto"/>
        <w:ind w:left="-5"/>
      </w:pPr>
      <w:r>
        <w:rPr>
          <w:rFonts w:ascii="Arial" w:eastAsia="Arial" w:hAnsi="Arial" w:cs="Arial"/>
          <w:b/>
          <w:sz w:val="22"/>
        </w:rPr>
        <w:t xml:space="preserve">4.1.5 </w:t>
      </w:r>
      <w:r>
        <w:rPr>
          <w:rFonts w:ascii="Arial" w:eastAsia="Arial" w:hAnsi="Arial" w:cs="Arial"/>
          <w:b/>
        </w:rPr>
        <w:t xml:space="preserve">Supply Chain Risk Management Category </w:t>
      </w:r>
    </w:p>
    <w:p w14:paraId="08C1B858" w14:textId="5F20DCBA" w:rsidR="00F61BB4" w:rsidRDefault="0029551D">
      <w:pPr>
        <w:spacing w:after="191"/>
        <w:ind w:left="-5"/>
      </w:pPr>
      <w:r>
        <w:t xml:space="preserve">The organization’s priorities, constraints, risk tolerances, and assumptions are established and used to support risk decisions associated with managing supply chain risk. The organization has established and implemented the processes to identify, assess, and manage supply chain risks. </w:t>
      </w:r>
    </w:p>
    <w:p w14:paraId="0AC9C856" w14:textId="21B2AFAA" w:rsidR="00F61BB4" w:rsidRDefault="0029551D">
      <w:pPr>
        <w:spacing w:after="131"/>
        <w:ind w:left="-5"/>
      </w:pPr>
      <w:r>
        <w:t xml:space="preserve">There </w:t>
      </w:r>
      <w:r w:rsidR="001B0912">
        <w:t>are five</w:t>
      </w:r>
      <w:r>
        <w:t xml:space="preserve"> Subcategor</w:t>
      </w:r>
      <w:r w:rsidR="001B0912">
        <w:t>ies</w:t>
      </w:r>
      <w:r>
        <w:t xml:space="preserve"> within Supply Chain Risk Management</w:t>
      </w:r>
      <w:r w:rsidR="001B0912">
        <w:t xml:space="preserve">, </w:t>
      </w:r>
      <w:r w:rsidR="08F34307">
        <w:t xml:space="preserve">four </w:t>
      </w:r>
      <w:r w:rsidR="001B0912">
        <w:t>of which</w:t>
      </w:r>
      <w:r>
        <w:t xml:space="preserve"> </w:t>
      </w:r>
      <w:r w:rsidR="7DCEE33B">
        <w:t xml:space="preserve">partially apply </w:t>
      </w:r>
      <w:r>
        <w:t xml:space="preserve">to the </w:t>
      </w:r>
      <w:r w:rsidR="001B0912">
        <w:t>SOC.</w:t>
      </w:r>
    </w:p>
    <w:tbl>
      <w:tblPr>
        <w:tblStyle w:val="ListTable4-Accent5"/>
        <w:tblW w:w="0" w:type="auto"/>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Pr>
      <w:tblGrid>
        <w:gridCol w:w="2696"/>
        <w:gridCol w:w="6305"/>
        <w:gridCol w:w="4038"/>
      </w:tblGrid>
      <w:tr w:rsidR="002C7E4B" w14:paraId="6DD09FC1" w14:textId="77777777" w:rsidTr="2D9AAC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039" w:type="dxa"/>
            <w:gridSpan w:val="3"/>
            <w:shd w:val="clear" w:color="auto" w:fill="0066FF"/>
          </w:tcPr>
          <w:p w14:paraId="33F23464" w14:textId="60623481" w:rsidR="002C7E4B" w:rsidRPr="0054579D" w:rsidRDefault="002C7E4B" w:rsidP="0019052C">
            <w:pPr>
              <w:ind w:left="0" w:firstLine="0"/>
              <w:rPr>
                <w:color w:val="FFFFFF" w:themeColor="background1"/>
              </w:rPr>
            </w:pPr>
            <w:r>
              <w:rPr>
                <w:color w:val="FFFFFF" w:themeColor="background1"/>
              </w:rPr>
              <w:t>Identify:  Supply Chain Risk Management Category</w:t>
            </w:r>
          </w:p>
        </w:tc>
      </w:tr>
      <w:tr w:rsidR="002C7E4B" w14:paraId="3C31200D" w14:textId="77777777" w:rsidTr="2D9AAC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6" w:type="dxa"/>
            <w:shd w:val="clear" w:color="auto" w:fill="0066FF"/>
          </w:tcPr>
          <w:p w14:paraId="778D92E1" w14:textId="77777777" w:rsidR="002C7E4B" w:rsidRPr="0054579D" w:rsidRDefault="002C7E4B" w:rsidP="0019052C">
            <w:pPr>
              <w:ind w:left="0" w:firstLine="0"/>
              <w:rPr>
                <w:color w:val="FFFFFF" w:themeColor="background1"/>
              </w:rPr>
            </w:pPr>
            <w:r w:rsidRPr="0054579D">
              <w:rPr>
                <w:color w:val="FFFFFF" w:themeColor="background1"/>
              </w:rPr>
              <w:t>Subcategory</w:t>
            </w:r>
          </w:p>
        </w:tc>
        <w:tc>
          <w:tcPr>
            <w:tcW w:w="6305" w:type="dxa"/>
            <w:shd w:val="clear" w:color="auto" w:fill="0066FF"/>
          </w:tcPr>
          <w:p w14:paraId="0D48A938" w14:textId="77777777" w:rsidR="002C7E4B" w:rsidRPr="00243F2E" w:rsidRDefault="002C7E4B" w:rsidP="0019052C">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243F2E">
              <w:rPr>
                <w:color w:val="FFFFFF" w:themeColor="background1"/>
              </w:rPr>
              <w:t xml:space="preserve">Applicability to </w:t>
            </w:r>
            <w:r w:rsidRPr="0054579D">
              <w:rPr>
                <w:color w:val="FFFFFF" w:themeColor="background1"/>
              </w:rPr>
              <w:t>SOC</w:t>
            </w:r>
          </w:p>
        </w:tc>
        <w:tc>
          <w:tcPr>
            <w:tcW w:w="4038" w:type="dxa"/>
            <w:shd w:val="clear" w:color="auto" w:fill="0066FF"/>
          </w:tcPr>
          <w:p w14:paraId="379076FA" w14:textId="77777777" w:rsidR="002C7E4B" w:rsidRPr="00243F2E" w:rsidRDefault="002C7E4B" w:rsidP="0019052C">
            <w:pPr>
              <w:ind w:left="0" w:firstLine="0"/>
              <w:cnfStyle w:val="100000000000" w:firstRow="1" w:lastRow="0" w:firstColumn="0" w:lastColumn="0" w:oddVBand="0" w:evenVBand="0" w:oddHBand="0" w:evenHBand="0" w:firstRowFirstColumn="0" w:firstRowLastColumn="0" w:lastRowFirstColumn="0" w:lastRowLastColumn="0"/>
              <w:rPr>
                <w:color w:val="FFFFFF" w:themeColor="background1"/>
              </w:rPr>
            </w:pPr>
            <w:r w:rsidRPr="00243F2E">
              <w:rPr>
                <w:color w:val="FFFFFF" w:themeColor="background1"/>
              </w:rPr>
              <w:t>References</w:t>
            </w:r>
          </w:p>
        </w:tc>
      </w:tr>
      <w:tr w:rsidR="002C7E4B" w14:paraId="035D58B8" w14:textId="77777777" w:rsidTr="2D9AA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43A75449" w14:textId="2ECED696" w:rsidR="002C7E4B" w:rsidRDefault="00120180" w:rsidP="0019052C">
            <w:pPr>
              <w:ind w:left="0" w:firstLine="0"/>
            </w:pPr>
            <w:r w:rsidRPr="00120180">
              <w:t xml:space="preserve">ID.SC-1: Cyber supply chain risk management processes are identified, established, assessed, </w:t>
            </w:r>
            <w:r w:rsidRPr="00120180">
              <w:lastRenderedPageBreak/>
              <w:t>managed, and agreed to by organizational stakeholders</w:t>
            </w:r>
            <w:r>
              <w:t>.</w:t>
            </w:r>
          </w:p>
        </w:tc>
        <w:tc>
          <w:tcPr>
            <w:tcW w:w="6305" w:type="dxa"/>
          </w:tcPr>
          <w:p w14:paraId="05594BE4" w14:textId="75FC4948" w:rsidR="002C7E4B" w:rsidRDefault="00120180" w:rsidP="0019052C">
            <w:pPr>
              <w:ind w:left="0" w:firstLine="0"/>
              <w:cnfStyle w:val="000000100000" w:firstRow="0" w:lastRow="0" w:firstColumn="0" w:lastColumn="0" w:oddVBand="0" w:evenVBand="0" w:oddHBand="1" w:evenHBand="0" w:firstRowFirstColumn="0" w:firstRowLastColumn="0" w:lastRowFirstColumn="0" w:lastRowLastColumn="0"/>
            </w:pPr>
            <w:r>
              <w:lastRenderedPageBreak/>
              <w:t>The SOC will have very constrained external connections</w:t>
            </w:r>
            <w:r w:rsidR="001436B4">
              <w:t xml:space="preserve"> and critical components that directly communicate with the space segment will most likely be air gapped</w:t>
            </w:r>
            <w:r>
              <w:t xml:space="preserve">.  The processes and </w:t>
            </w:r>
            <w:r>
              <w:lastRenderedPageBreak/>
              <w:t>procedures will need to accommodate unique delivery</w:t>
            </w:r>
            <w:r w:rsidR="001436B4">
              <w:t xml:space="preserve"> of updates</w:t>
            </w:r>
            <w:r>
              <w:t xml:space="preserve"> and patching.  </w:t>
            </w:r>
          </w:p>
        </w:tc>
        <w:tc>
          <w:tcPr>
            <w:tcW w:w="4038" w:type="dxa"/>
          </w:tcPr>
          <w:p w14:paraId="4DC1155C" w14:textId="0CE2DE1E" w:rsidR="002C7E4B" w:rsidRDefault="00121170" w:rsidP="0019052C">
            <w:pPr>
              <w:ind w:left="0" w:firstLine="0"/>
              <w:cnfStyle w:val="000000100000" w:firstRow="0" w:lastRow="0" w:firstColumn="0" w:lastColumn="0" w:oddVBand="0" w:evenVBand="0" w:oddHBand="1" w:evenHBand="0" w:firstRowFirstColumn="0" w:firstRowLastColumn="0" w:lastRowFirstColumn="0" w:lastRowLastColumn="0"/>
            </w:pPr>
            <w:r w:rsidRPr="2D9AAC23">
              <w:rPr>
                <w:b/>
                <w:bCs/>
                <w:color w:val="000000" w:themeColor="text1"/>
                <w:szCs w:val="24"/>
              </w:rPr>
              <w:lastRenderedPageBreak/>
              <w:t>NIST SP 800-53 Rev. 5</w:t>
            </w:r>
            <w:r w:rsidRPr="2D9AAC23">
              <w:rPr>
                <w:color w:val="000000" w:themeColor="text1"/>
                <w:szCs w:val="24"/>
              </w:rPr>
              <w:t>,</w:t>
            </w:r>
            <w:r>
              <w:rPr>
                <w:color w:val="000000" w:themeColor="text1"/>
                <w:szCs w:val="24"/>
              </w:rPr>
              <w:t xml:space="preserve"> </w:t>
            </w:r>
            <w:r w:rsidR="000F554C" w:rsidRPr="000F554C">
              <w:rPr>
                <w:color w:val="000000" w:themeColor="text1"/>
                <w:szCs w:val="24"/>
              </w:rPr>
              <w:t>PM-30, SA-9, SR-1, SR-2, SR-3, SR-5</w:t>
            </w:r>
          </w:p>
        </w:tc>
      </w:tr>
      <w:tr w:rsidR="002C7E4B" w14:paraId="6955AA21" w14:textId="77777777" w:rsidTr="2D9AAC23">
        <w:tc>
          <w:tcPr>
            <w:cnfStyle w:val="001000000000" w:firstRow="0" w:lastRow="0" w:firstColumn="1" w:lastColumn="0" w:oddVBand="0" w:evenVBand="0" w:oddHBand="0" w:evenHBand="0" w:firstRowFirstColumn="0" w:firstRowLastColumn="0" w:lastRowFirstColumn="0" w:lastRowLastColumn="0"/>
            <w:tcW w:w="2696" w:type="dxa"/>
          </w:tcPr>
          <w:p w14:paraId="2F214CB5" w14:textId="6F3A70E1" w:rsidR="002C7E4B" w:rsidRDefault="00120180" w:rsidP="0019052C">
            <w:pPr>
              <w:ind w:left="0" w:firstLine="0"/>
            </w:pPr>
            <w:r w:rsidRPr="00120180">
              <w:t xml:space="preserve">ID.SC-2: Suppliers and </w:t>
            </w:r>
            <w:proofErr w:type="gramStart"/>
            <w:r w:rsidRPr="00120180">
              <w:t>third party</w:t>
            </w:r>
            <w:proofErr w:type="gramEnd"/>
            <w:r w:rsidRPr="00120180">
              <w:t xml:space="preserve"> partners of information systems, components, and services are identified, prioritized, and assessed using a cyber supply chain risk assessment process</w:t>
            </w:r>
            <w:r>
              <w:t>.</w:t>
            </w:r>
          </w:p>
        </w:tc>
        <w:tc>
          <w:tcPr>
            <w:tcW w:w="6305" w:type="dxa"/>
          </w:tcPr>
          <w:p w14:paraId="4BFD45DE" w14:textId="77777777" w:rsidR="002C7E4B" w:rsidRDefault="00120180" w:rsidP="0019052C">
            <w:pPr>
              <w:ind w:left="0" w:firstLine="0"/>
              <w:cnfStyle w:val="000000000000" w:firstRow="0" w:lastRow="0" w:firstColumn="0" w:lastColumn="0" w:oddVBand="0" w:evenVBand="0" w:oddHBand="0" w:evenHBand="0" w:firstRowFirstColumn="0" w:firstRowLastColumn="0" w:lastRowFirstColumn="0" w:lastRowLastColumn="0"/>
            </w:pPr>
            <w:r>
              <w:t xml:space="preserve">It is unlikely the bus SOC will have third party partner partners.  Any use of third parties will be limited and information will be cryptographically isolated (from the partner).  </w:t>
            </w:r>
          </w:p>
          <w:p w14:paraId="2B8888A2" w14:textId="57958415" w:rsidR="00120180" w:rsidRDefault="00120180" w:rsidP="00E91110">
            <w:pPr>
              <w:ind w:left="0" w:firstLine="0"/>
              <w:cnfStyle w:val="000000000000" w:firstRow="0" w:lastRow="0" w:firstColumn="0" w:lastColumn="0" w:oddVBand="0" w:evenVBand="0" w:oddHBand="0" w:evenHBand="0" w:firstRowFirstColumn="0" w:firstRowLastColumn="0" w:lastRowFirstColumn="0" w:lastRowLastColumn="0"/>
            </w:pPr>
            <w:r>
              <w:t xml:space="preserve">Remain apprised of current and future regulations related to the acquisition of services (such as platforms to accommodate a hosted payload), and devices that may form and transport C2 messages or </w:t>
            </w:r>
            <w:r w:rsidR="008D1DEF">
              <w:t>receive</w:t>
            </w:r>
            <w:r>
              <w:t xml:space="preserve"> payload acknowledgements or telemetry.    </w:t>
            </w:r>
          </w:p>
        </w:tc>
        <w:tc>
          <w:tcPr>
            <w:tcW w:w="4038" w:type="dxa"/>
          </w:tcPr>
          <w:p w14:paraId="44C6A558" w14:textId="201D4027" w:rsidR="002C7E4B" w:rsidRDefault="35F07012" w:rsidP="2D9AAC23">
            <w:pPr>
              <w:spacing w:line="257" w:lineRule="auto"/>
              <w:cnfStyle w:val="000000000000" w:firstRow="0" w:lastRow="0" w:firstColumn="0" w:lastColumn="0" w:oddVBand="0" w:evenVBand="0" w:oddHBand="0" w:evenHBand="0" w:firstRowFirstColumn="0" w:firstRowLastColumn="0" w:lastRowFirstColumn="0" w:lastRowLastColumn="0"/>
              <w:rPr>
                <w:b/>
                <w:bCs/>
                <w:color w:val="000000" w:themeColor="text1"/>
                <w:szCs w:val="24"/>
                <w:highlight w:val="yellow"/>
              </w:rPr>
            </w:pPr>
            <w:commentRangeStart w:id="5"/>
            <w:r w:rsidRPr="2D9AAC23">
              <w:rPr>
                <w:b/>
                <w:bCs/>
                <w:color w:val="000000" w:themeColor="text1"/>
                <w:szCs w:val="24"/>
                <w:highlight w:val="yellow"/>
              </w:rPr>
              <w:t xml:space="preserve">NDAA </w:t>
            </w:r>
            <w:r w:rsidRPr="2D9AAC23">
              <w:rPr>
                <w:color w:val="000000" w:themeColor="text1"/>
                <w:szCs w:val="24"/>
                <w:highlight w:val="yellow"/>
              </w:rPr>
              <w:t>889</w:t>
            </w:r>
            <w:r w:rsidRPr="2D9AAC23">
              <w:rPr>
                <w:b/>
                <w:bCs/>
                <w:color w:val="000000" w:themeColor="text1"/>
                <w:szCs w:val="24"/>
              </w:rPr>
              <w:t xml:space="preserve"> </w:t>
            </w:r>
            <w:commentRangeEnd w:id="5"/>
            <w:r w:rsidR="002C7E4B">
              <w:rPr>
                <w:rStyle w:val="CommentReference"/>
              </w:rPr>
              <w:commentReference w:id="5"/>
            </w:r>
          </w:p>
          <w:p w14:paraId="1583ACD7" w14:textId="4EE181A1" w:rsidR="002C7E4B" w:rsidRDefault="35F07012" w:rsidP="2D9AAC23">
            <w:pPr>
              <w:spacing w:line="257" w:lineRule="auto"/>
              <w:cnfStyle w:val="000000000000" w:firstRow="0" w:lastRow="0" w:firstColumn="0" w:lastColumn="0" w:oddVBand="0" w:evenVBand="0" w:oddHBand="0" w:evenHBand="0" w:firstRowFirstColumn="0" w:firstRowLastColumn="0" w:lastRowFirstColumn="0" w:lastRowLastColumn="0"/>
            </w:pPr>
            <w:r w:rsidRPr="2D9AAC23">
              <w:rPr>
                <w:b/>
                <w:bCs/>
                <w:color w:val="000000" w:themeColor="text1"/>
                <w:szCs w:val="24"/>
              </w:rPr>
              <w:t xml:space="preserve">NIST SP 800-161 </w:t>
            </w:r>
            <w:r w:rsidRPr="2D9AAC23">
              <w:rPr>
                <w:color w:val="000000" w:themeColor="text1"/>
                <w:szCs w:val="24"/>
              </w:rPr>
              <w:t>2.2, 3</w:t>
            </w:r>
            <w:r w:rsidRPr="2D9AAC23">
              <w:rPr>
                <w:b/>
                <w:bCs/>
                <w:color w:val="000000" w:themeColor="text1"/>
                <w:szCs w:val="24"/>
              </w:rPr>
              <w:t xml:space="preserve"> </w:t>
            </w:r>
          </w:p>
          <w:p w14:paraId="61643E1E" w14:textId="73BF0613" w:rsidR="002C7E4B" w:rsidRDefault="35F07012" w:rsidP="2D9AAC23">
            <w:pPr>
              <w:spacing w:line="238" w:lineRule="auto"/>
              <w:cnfStyle w:val="000000000000" w:firstRow="0" w:lastRow="0" w:firstColumn="0" w:lastColumn="0" w:oddVBand="0" w:evenVBand="0" w:oddHBand="0" w:evenHBand="0" w:firstRowFirstColumn="0" w:firstRowLastColumn="0" w:lastRowFirstColumn="0" w:lastRowLastColumn="0"/>
            </w:pPr>
            <w:r w:rsidRPr="2D9AAC23">
              <w:rPr>
                <w:b/>
                <w:bCs/>
                <w:color w:val="000000" w:themeColor="text1"/>
                <w:szCs w:val="24"/>
              </w:rPr>
              <w:t xml:space="preserve">NIST SP 800-53 Rev. 5 </w:t>
            </w:r>
            <w:r w:rsidRPr="2D9AAC23">
              <w:rPr>
                <w:color w:val="000000" w:themeColor="text1"/>
                <w:szCs w:val="24"/>
              </w:rPr>
              <w:t>PM-9, RA-3, SR-2, SR-3, SR-5, SR-6</w:t>
            </w:r>
          </w:p>
          <w:p w14:paraId="2FEE7044" w14:textId="36D689E5" w:rsidR="002C7E4B" w:rsidRDefault="002C7E4B" w:rsidP="2D9AAC23">
            <w:pPr>
              <w:ind w:left="0" w:firstLine="0"/>
              <w:cnfStyle w:val="000000000000" w:firstRow="0" w:lastRow="0" w:firstColumn="0" w:lastColumn="0" w:oddVBand="0" w:evenVBand="0" w:oddHBand="0" w:evenHBand="0" w:firstRowFirstColumn="0" w:firstRowLastColumn="0" w:lastRowFirstColumn="0" w:lastRowLastColumn="0"/>
              <w:rPr>
                <w:color w:val="000000" w:themeColor="text1"/>
                <w:szCs w:val="24"/>
              </w:rPr>
            </w:pPr>
          </w:p>
        </w:tc>
      </w:tr>
      <w:tr w:rsidR="002C7E4B" w14:paraId="10A7495F" w14:textId="77777777" w:rsidTr="2D9AA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166CB47E" w14:textId="2367AD22" w:rsidR="002C7E4B" w:rsidRDefault="00120180" w:rsidP="0019052C">
            <w:pPr>
              <w:ind w:left="0" w:firstLine="0"/>
            </w:pPr>
            <w:r w:rsidRPr="00120180">
              <w:t>ID.SC-3: Contracts with suppliers and third-party partners are used to implement appropriate measures designed to meet the objectives of an organization’s cybersecurity program and Cyber Supply Chain Risk Management Plan.</w:t>
            </w:r>
          </w:p>
        </w:tc>
        <w:tc>
          <w:tcPr>
            <w:tcW w:w="6305" w:type="dxa"/>
          </w:tcPr>
          <w:p w14:paraId="07BE0640" w14:textId="7A0B9246" w:rsidR="00E91110" w:rsidRDefault="00E91110" w:rsidP="00E91110">
            <w:pPr>
              <w:ind w:left="0" w:firstLine="0"/>
              <w:cnfStyle w:val="000000100000" w:firstRow="0" w:lastRow="0" w:firstColumn="0" w:lastColumn="0" w:oddVBand="0" w:evenVBand="0" w:oddHBand="1" w:evenHBand="0" w:firstRowFirstColumn="0" w:firstRowLastColumn="0" w:lastRowFirstColumn="0" w:lastRowLastColumn="0"/>
            </w:pPr>
            <w:r>
              <w:t xml:space="preserve">Supply chain decisions and contracts for systems, components, and services, considerations may include. </w:t>
            </w:r>
          </w:p>
          <w:p w14:paraId="2002719C" w14:textId="6AC26027" w:rsidR="00E91110" w:rsidRDefault="00E91110" w:rsidP="00E91110">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 xml:space="preserve">functional requirements. </w:t>
            </w:r>
          </w:p>
          <w:p w14:paraId="18CD3588" w14:textId="789B7FAA" w:rsidR="00E91110" w:rsidRDefault="00E91110" w:rsidP="00E91110">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any relevant and applicable federal law, regulation, or statutory policy.</w:t>
            </w:r>
          </w:p>
          <w:p w14:paraId="138B5D4E" w14:textId="2F759DAD" w:rsidR="00E91110" w:rsidRDefault="00E91110" w:rsidP="00E91110">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 xml:space="preserve">the threat environment. </w:t>
            </w:r>
          </w:p>
          <w:p w14:paraId="648723F8" w14:textId="77777777" w:rsidR="00E91110" w:rsidRDefault="00E91110" w:rsidP="00E91110">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 xml:space="preserve">mission-level goals, criticality, and </w:t>
            </w:r>
            <w:proofErr w:type="gramStart"/>
            <w:r>
              <w:t>functions;</w:t>
            </w:r>
            <w:proofErr w:type="gramEnd"/>
          </w:p>
          <w:p w14:paraId="2F7BC87F" w14:textId="28F78071" w:rsidR="00E91110" w:rsidRDefault="00E91110" w:rsidP="00E91110">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 xml:space="preserve">security policies. </w:t>
            </w:r>
          </w:p>
          <w:p w14:paraId="7A9EBDAB" w14:textId="77777777" w:rsidR="00E91110" w:rsidRDefault="00E91110" w:rsidP="00E91110">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 xml:space="preserve">organizational policies; and </w:t>
            </w:r>
          </w:p>
          <w:p w14:paraId="63550CF4" w14:textId="2A7C38E0" w:rsidR="002C7E4B" w:rsidRDefault="00E91110" w:rsidP="00E91110">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the business objectives.</w:t>
            </w:r>
          </w:p>
        </w:tc>
        <w:tc>
          <w:tcPr>
            <w:tcW w:w="4038" w:type="dxa"/>
          </w:tcPr>
          <w:p w14:paraId="50DEDBE9" w14:textId="7EC8DF18" w:rsidR="002C7E4B" w:rsidRDefault="00121170" w:rsidP="0019052C">
            <w:pPr>
              <w:ind w:left="0" w:firstLine="0"/>
              <w:cnfStyle w:val="000000100000" w:firstRow="0" w:lastRow="0" w:firstColumn="0" w:lastColumn="0" w:oddVBand="0" w:evenVBand="0" w:oddHBand="1" w:evenHBand="0" w:firstRowFirstColumn="0" w:firstRowLastColumn="0" w:lastRowFirstColumn="0" w:lastRowLastColumn="0"/>
            </w:pPr>
            <w:r w:rsidRPr="2D9AAC23">
              <w:rPr>
                <w:b/>
                <w:bCs/>
                <w:color w:val="000000" w:themeColor="text1"/>
                <w:szCs w:val="24"/>
              </w:rPr>
              <w:t>NIST SP 800-53 Rev. 5</w:t>
            </w:r>
            <w:r w:rsidRPr="2D9AAC23">
              <w:rPr>
                <w:color w:val="000000" w:themeColor="text1"/>
                <w:szCs w:val="24"/>
              </w:rPr>
              <w:t>,</w:t>
            </w:r>
            <w:r>
              <w:rPr>
                <w:color w:val="000000" w:themeColor="text1"/>
                <w:szCs w:val="24"/>
              </w:rPr>
              <w:t xml:space="preserve"> </w:t>
            </w:r>
            <w:r w:rsidR="000F554C" w:rsidRPr="000F554C">
              <w:rPr>
                <w:color w:val="000000" w:themeColor="text1"/>
                <w:szCs w:val="24"/>
              </w:rPr>
              <w:t>SA-4, SA-9, SR-2, SR-3, SR-5</w:t>
            </w:r>
          </w:p>
        </w:tc>
      </w:tr>
      <w:tr w:rsidR="002C7E4B" w14:paraId="5A3A87DC" w14:textId="77777777" w:rsidTr="2D9AAC23">
        <w:tc>
          <w:tcPr>
            <w:cnfStyle w:val="001000000000" w:firstRow="0" w:lastRow="0" w:firstColumn="1" w:lastColumn="0" w:oddVBand="0" w:evenVBand="0" w:oddHBand="0" w:evenHBand="0" w:firstRowFirstColumn="0" w:firstRowLastColumn="0" w:lastRowFirstColumn="0" w:lastRowLastColumn="0"/>
            <w:tcW w:w="2696" w:type="dxa"/>
          </w:tcPr>
          <w:p w14:paraId="7CB67F2D" w14:textId="750E7696" w:rsidR="002C7E4B" w:rsidRDefault="00120180" w:rsidP="0019052C">
            <w:pPr>
              <w:ind w:left="0" w:firstLine="0"/>
            </w:pPr>
            <w:r w:rsidRPr="00120180">
              <w:lastRenderedPageBreak/>
              <w:t>ID.SC-4: Suppliers and third-party partners are routinely assessed using audits, test results, or other forms of evaluations to confirm they are meeting their contractual obligations.</w:t>
            </w:r>
          </w:p>
        </w:tc>
        <w:tc>
          <w:tcPr>
            <w:tcW w:w="6305" w:type="dxa"/>
          </w:tcPr>
          <w:p w14:paraId="501AE27F" w14:textId="18C7F761" w:rsidR="00E91110" w:rsidRDefault="00E91110" w:rsidP="0019052C">
            <w:pPr>
              <w:ind w:left="0" w:firstLine="0"/>
              <w:cnfStyle w:val="000000000000" w:firstRow="0" w:lastRow="0" w:firstColumn="0" w:lastColumn="0" w:oddVBand="0" w:evenVBand="0" w:oddHBand="0" w:evenHBand="0" w:firstRowFirstColumn="0" w:firstRowLastColumn="0" w:lastRowFirstColumn="0" w:lastRowLastColumn="0"/>
            </w:pPr>
            <w:r>
              <w:t xml:space="preserve">Assessments and evaluations should be done in the context of supply chain vulnerabilities such as </w:t>
            </w:r>
          </w:p>
          <w:p w14:paraId="0BF4A513" w14:textId="0590F856" w:rsidR="00E91110" w:rsidRDefault="00394B16" w:rsidP="00E91110">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counterfeit</w:t>
            </w:r>
            <w:r w:rsidR="00E91110">
              <w:t xml:space="preserve"> systems and </w:t>
            </w:r>
            <w:proofErr w:type="gramStart"/>
            <w:r w:rsidR="00E91110">
              <w:t>components;</w:t>
            </w:r>
            <w:proofErr w:type="gramEnd"/>
            <w:r w:rsidR="00E91110">
              <w:t xml:space="preserve"> </w:t>
            </w:r>
          </w:p>
          <w:p w14:paraId="1EFB820E" w14:textId="77777777" w:rsidR="00E91110" w:rsidRDefault="00E91110" w:rsidP="00E91110">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 xml:space="preserve">the development and operational environment; and </w:t>
            </w:r>
          </w:p>
          <w:p w14:paraId="315595D5" w14:textId="77777777" w:rsidR="00E91110" w:rsidRDefault="00E91110" w:rsidP="00E91110">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 xml:space="preserve">the logistics or delivery environment. </w:t>
            </w:r>
          </w:p>
          <w:p w14:paraId="0039CDFF" w14:textId="40717681" w:rsidR="002C7E4B" w:rsidRDefault="00E91110" w:rsidP="00E91110">
            <w:pPr>
              <w:cnfStyle w:val="000000000000" w:firstRow="0" w:lastRow="0" w:firstColumn="0" w:lastColumn="0" w:oddVBand="0" w:evenVBand="0" w:oddHBand="0" w:evenHBand="0" w:firstRowFirstColumn="0" w:firstRowLastColumn="0" w:lastRowFirstColumn="0" w:lastRowLastColumn="0"/>
            </w:pPr>
            <w:r>
              <w:t>Consider access paths within the supply chain that would allow adversaries to gain information and introduce hardware, software, or firmware that could cause disruption of the satellite as well as any dependencies that may be easier to exploit.</w:t>
            </w:r>
          </w:p>
        </w:tc>
        <w:tc>
          <w:tcPr>
            <w:tcW w:w="4038" w:type="dxa"/>
          </w:tcPr>
          <w:p w14:paraId="44A071CC" w14:textId="0F8C5023" w:rsidR="002C7E4B" w:rsidRDefault="00121170" w:rsidP="0019052C">
            <w:pPr>
              <w:ind w:left="0" w:firstLine="0"/>
              <w:cnfStyle w:val="000000000000" w:firstRow="0" w:lastRow="0" w:firstColumn="0" w:lastColumn="0" w:oddVBand="0" w:evenVBand="0" w:oddHBand="0" w:evenHBand="0" w:firstRowFirstColumn="0" w:firstRowLastColumn="0" w:lastRowFirstColumn="0" w:lastRowLastColumn="0"/>
            </w:pPr>
            <w:r w:rsidRPr="2D9AAC23">
              <w:rPr>
                <w:b/>
                <w:bCs/>
                <w:color w:val="000000" w:themeColor="text1"/>
                <w:szCs w:val="24"/>
              </w:rPr>
              <w:t>NIST SP 800-53 Rev. 5</w:t>
            </w:r>
            <w:r w:rsidRPr="2D9AAC23">
              <w:rPr>
                <w:color w:val="000000" w:themeColor="text1"/>
                <w:szCs w:val="24"/>
              </w:rPr>
              <w:t>,</w:t>
            </w:r>
            <w:r>
              <w:rPr>
                <w:color w:val="000000" w:themeColor="text1"/>
                <w:szCs w:val="24"/>
              </w:rPr>
              <w:t xml:space="preserve"> </w:t>
            </w:r>
            <w:r w:rsidR="000F554C" w:rsidRPr="000F554C">
              <w:rPr>
                <w:color w:val="000000" w:themeColor="text1"/>
                <w:szCs w:val="24"/>
              </w:rPr>
              <w:t>AU-</w:t>
            </w:r>
            <w:proofErr w:type="gramStart"/>
            <w:r w:rsidR="000F554C" w:rsidRPr="000F554C">
              <w:rPr>
                <w:color w:val="000000" w:themeColor="text1"/>
                <w:szCs w:val="24"/>
              </w:rPr>
              <w:t>6,  CA</w:t>
            </w:r>
            <w:proofErr w:type="gramEnd"/>
            <w:r w:rsidR="000F554C" w:rsidRPr="000F554C">
              <w:rPr>
                <w:color w:val="000000" w:themeColor="text1"/>
                <w:szCs w:val="24"/>
              </w:rPr>
              <w:t>-2, CA-7, PS-7, SA-9, SA-11</w:t>
            </w:r>
          </w:p>
        </w:tc>
      </w:tr>
      <w:tr w:rsidR="45AF0B48" w14:paraId="1BA1B372" w14:textId="77777777" w:rsidTr="2D9AA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6FF6BD72" w14:textId="727B3185" w:rsidR="5B1E1A38" w:rsidRDefault="5B1E1A38" w:rsidP="45AF0B48">
            <w:pPr>
              <w:rPr>
                <w:color w:val="000000" w:themeColor="text1"/>
                <w:szCs w:val="24"/>
              </w:rPr>
            </w:pPr>
            <w:r w:rsidRPr="45AF0B48">
              <w:rPr>
                <w:color w:val="000000" w:themeColor="text1"/>
                <w:szCs w:val="24"/>
              </w:rPr>
              <w:t>ID.SC-5: Response and recovery planning and testing are conducted with suppliers and third-party providers</w:t>
            </w:r>
          </w:p>
        </w:tc>
        <w:tc>
          <w:tcPr>
            <w:tcW w:w="6305" w:type="dxa"/>
          </w:tcPr>
          <w:p w14:paraId="6C6A42A4" w14:textId="15E568E9" w:rsidR="5B1E1A38" w:rsidRDefault="5B1E1A38" w:rsidP="45AF0B48">
            <w:pPr>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45AF0B48">
              <w:rPr>
                <w:color w:val="000000" w:themeColor="text1"/>
                <w:szCs w:val="24"/>
              </w:rPr>
              <w:t>Not applicable to the SOC</w:t>
            </w:r>
          </w:p>
        </w:tc>
        <w:tc>
          <w:tcPr>
            <w:tcW w:w="4038" w:type="dxa"/>
          </w:tcPr>
          <w:p w14:paraId="25488B03" w14:textId="38D2DC5E" w:rsidR="45AF0B48" w:rsidRDefault="00121170" w:rsidP="45AF0B48">
            <w:pPr>
              <w:cnfStyle w:val="000000100000" w:firstRow="0" w:lastRow="0" w:firstColumn="0" w:lastColumn="0" w:oddVBand="0" w:evenVBand="0" w:oddHBand="1" w:evenHBand="0" w:firstRowFirstColumn="0" w:firstRowLastColumn="0" w:lastRowFirstColumn="0" w:lastRowLastColumn="0"/>
              <w:rPr>
                <w:color w:val="000000" w:themeColor="text1"/>
                <w:szCs w:val="24"/>
              </w:rPr>
            </w:pPr>
            <w:r w:rsidRPr="2D9AAC23">
              <w:rPr>
                <w:b/>
                <w:bCs/>
                <w:color w:val="000000" w:themeColor="text1"/>
                <w:szCs w:val="24"/>
              </w:rPr>
              <w:t>NIST SP 800-53 Rev. 5</w:t>
            </w:r>
            <w:r w:rsidRPr="2D9AAC23">
              <w:rPr>
                <w:color w:val="000000" w:themeColor="text1"/>
                <w:szCs w:val="24"/>
              </w:rPr>
              <w:t>,</w:t>
            </w:r>
            <w:r>
              <w:rPr>
                <w:color w:val="000000" w:themeColor="text1"/>
                <w:szCs w:val="24"/>
              </w:rPr>
              <w:t xml:space="preserve"> </w:t>
            </w:r>
            <w:r w:rsidR="000F554C" w:rsidRPr="000F554C">
              <w:rPr>
                <w:color w:val="000000" w:themeColor="text1"/>
                <w:szCs w:val="24"/>
              </w:rPr>
              <w:t>CP-2, CP-4, IR-3, IR-4, IR-8, IR-9</w:t>
            </w:r>
          </w:p>
        </w:tc>
      </w:tr>
    </w:tbl>
    <w:p w14:paraId="178DBF57" w14:textId="5FE28AEA" w:rsidR="002C7E4B" w:rsidRDefault="002C7E4B">
      <w:pPr>
        <w:spacing w:after="131"/>
        <w:ind w:left="-5"/>
      </w:pPr>
    </w:p>
    <w:p w14:paraId="10F8117F" w14:textId="17C3EA7D" w:rsidR="00E600FF" w:rsidRDefault="00E600FF">
      <w:pPr>
        <w:spacing w:after="131"/>
        <w:ind w:left="-5"/>
      </w:pPr>
    </w:p>
    <w:p w14:paraId="52077D79" w14:textId="77777777" w:rsidR="00E600FF" w:rsidRDefault="00E600FF">
      <w:pPr>
        <w:spacing w:after="131"/>
        <w:ind w:left="-5"/>
      </w:pPr>
    </w:p>
    <w:sectPr w:rsidR="00E600FF" w:rsidSect="00CB7363">
      <w:headerReference w:type="even" r:id="rId15"/>
      <w:headerReference w:type="default" r:id="rId16"/>
      <w:footerReference w:type="even" r:id="rId17"/>
      <w:footerReference w:type="default" r:id="rId18"/>
      <w:headerReference w:type="first" r:id="rId19"/>
      <w:footerReference w:type="first" r:id="rId20"/>
      <w:pgSz w:w="15840" w:h="12240" w:orient="landscape"/>
      <w:pgMar w:top="1446" w:right="1441" w:bottom="1451" w:left="1350" w:header="742" w:footer="960"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seph Michael Brule" w:date="2021-07-22T16:55:00Z" w:initials="JB">
    <w:p w14:paraId="26B47E2D" w14:textId="485317C6" w:rsidR="2D9AAC23" w:rsidRDefault="2D9AAC23">
      <w:pPr>
        <w:pStyle w:val="CommentText"/>
      </w:pPr>
      <w:r>
        <w:t xml:space="preserve">This reference seems misplaced, should be in ID.RA?  </w:t>
      </w:r>
      <w:r>
        <w:rPr>
          <w:rStyle w:val="CommentReference"/>
        </w:rPr>
        <w:annotationRef/>
      </w:r>
    </w:p>
  </w:comment>
  <w:comment w:id="1" w:author="Joseph Michael Brule" w:date="2021-07-23T11:25:00Z" w:initials="JB">
    <w:p w14:paraId="2986DCFF" w14:textId="7E9D244A" w:rsidR="766416E5" w:rsidRDefault="766416E5" w:rsidP="766416E5">
      <w:pPr>
        <w:pStyle w:val="CommentText"/>
      </w:pPr>
      <w:r>
        <w:t xml:space="preserve">Network Engineering </w:t>
      </w:r>
      <w:r w:rsidR="00866E9D">
        <w:t>guidelines</w:t>
      </w:r>
      <w:r>
        <w:t xml:space="preserve">.  </w:t>
      </w:r>
      <w:r>
        <w:rPr>
          <w:rStyle w:val="CommentReference"/>
        </w:rPr>
        <w:annotationRef/>
      </w:r>
    </w:p>
  </w:comment>
  <w:comment w:id="2" w:author="Joseph Michael Brule" w:date="2021-07-23T11:44:00Z" w:initials="JB">
    <w:p w14:paraId="6BC4E30C" w14:textId="15166895" w:rsidR="2D9AAC23" w:rsidRDefault="2D9AAC23">
      <w:pPr>
        <w:pStyle w:val="CommentText"/>
      </w:pPr>
      <w:r>
        <w:t xml:space="preserve">Kept this one, albeit </w:t>
      </w:r>
      <w:r w:rsidR="004C163E">
        <w:t>tangentially</w:t>
      </w:r>
      <w:r>
        <w:t xml:space="preserve"> related.  Speaks to RFI interference</w:t>
      </w:r>
      <w:r>
        <w:rPr>
          <w:rStyle w:val="CommentReference"/>
        </w:rPr>
        <w:annotationRef/>
      </w:r>
      <w:r w:rsidR="00146469">
        <w:t>.  Should probably move it to ID.RA</w:t>
      </w:r>
    </w:p>
  </w:comment>
  <w:comment w:id="3" w:author="Joseph Michael Brule" w:date="2021-07-23T12:10:00Z" w:initials="JB">
    <w:p w14:paraId="3794FD63" w14:textId="2C8588AF" w:rsidR="2D9AAC23" w:rsidRDefault="2D9AAC23">
      <w:pPr>
        <w:pStyle w:val="CommentText"/>
      </w:pPr>
      <w:r>
        <w:t>A guide on uncertainty measurement, is a good reference, but seems to be misplaced.  Not sure what to do with this one</w:t>
      </w:r>
      <w:r>
        <w:rPr>
          <w:rStyle w:val="CommentReference"/>
        </w:rPr>
        <w:annotationRef/>
      </w:r>
      <w:r w:rsidR="00146469">
        <w:t xml:space="preserve">, suggest moving to general references? </w:t>
      </w:r>
    </w:p>
  </w:comment>
  <w:comment w:id="4" w:author="Joseph Michael Brule" w:date="2021-07-23T13:06:00Z" w:initials="JB">
    <w:p w14:paraId="52518E27" w14:textId="022FE788" w:rsidR="2D9AAC23" w:rsidRDefault="2D9AAC23">
      <w:pPr>
        <w:pStyle w:val="CommentText"/>
      </w:pPr>
      <w:r>
        <w:t>RFI interference, albeit specific to GNSS, but has general principles</w:t>
      </w:r>
      <w:r>
        <w:rPr>
          <w:rStyle w:val="CommentReference"/>
        </w:rPr>
        <w:annotationRef/>
      </w:r>
    </w:p>
  </w:comment>
  <w:comment w:id="5" w:author="Joseph Michael Brule" w:date="2021-07-23T13:35:00Z" w:initials="JB">
    <w:p w14:paraId="7F15C575" w14:textId="3326CC17" w:rsidR="2D9AAC23" w:rsidRDefault="2D9AAC23">
      <w:pPr>
        <w:pStyle w:val="CommentText"/>
      </w:pPr>
      <w:r>
        <w:t xml:space="preserve">This is a good reference, but probably misplaced.  </w:t>
      </w:r>
      <w:r w:rsidR="00866E9D">
        <w:t>Should</w:t>
      </w:r>
      <w:r>
        <w:t xml:space="preserve"> be in ID.SC-3?</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B47E2D" w15:done="0"/>
  <w15:commentEx w15:paraId="2986DCFF" w15:done="0"/>
  <w15:commentEx w15:paraId="6BC4E30C" w15:done="0"/>
  <w15:commentEx w15:paraId="3794FD63" w15:done="0"/>
  <w15:commentEx w15:paraId="52518E27" w15:done="0"/>
  <w15:commentEx w15:paraId="7F15C5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DC4795A" w16cex:dateUtc="2021-07-22T20:55:00Z"/>
  <w16cex:commentExtensible w16cex:durableId="09C31D25" w16cex:dateUtc="2021-07-23T15:25:00Z"/>
  <w16cex:commentExtensible w16cex:durableId="7E4DC7FA" w16cex:dateUtc="2021-07-23T15:44:00Z"/>
  <w16cex:commentExtensible w16cex:durableId="01F70415" w16cex:dateUtc="2021-07-23T16:10:00Z"/>
  <w16cex:commentExtensible w16cex:durableId="13BE2D88" w16cex:dateUtc="2021-07-23T17:06:00Z"/>
  <w16cex:commentExtensible w16cex:durableId="64C84C2F" w16cex:dateUtc="2021-07-23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B47E2D" w16cid:durableId="0DC4795A"/>
  <w16cid:commentId w16cid:paraId="2986DCFF" w16cid:durableId="09C31D25"/>
  <w16cid:commentId w16cid:paraId="6BC4E30C" w16cid:durableId="7E4DC7FA"/>
  <w16cid:commentId w16cid:paraId="3794FD63" w16cid:durableId="01F70415"/>
  <w16cid:commentId w16cid:paraId="52518E27" w16cid:durableId="13BE2D88"/>
  <w16cid:commentId w16cid:paraId="7F15C575" w16cid:durableId="64C84C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DEA6" w14:textId="77777777" w:rsidR="000B7314" w:rsidRDefault="000B7314">
      <w:pPr>
        <w:spacing w:after="0" w:line="240" w:lineRule="auto"/>
      </w:pPr>
      <w:r>
        <w:separator/>
      </w:r>
    </w:p>
  </w:endnote>
  <w:endnote w:type="continuationSeparator" w:id="0">
    <w:p w14:paraId="594F5E68" w14:textId="77777777" w:rsidR="000B7314" w:rsidRDefault="000B7314">
      <w:pPr>
        <w:spacing w:after="0" w:line="240" w:lineRule="auto"/>
      </w:pPr>
      <w:r>
        <w:continuationSeparator/>
      </w:r>
    </w:p>
  </w:endnote>
  <w:endnote w:type="continuationNotice" w:id="1">
    <w:p w14:paraId="0A24DE59" w14:textId="77777777" w:rsidR="000B7314" w:rsidRDefault="000B7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FDF5" w14:textId="77777777" w:rsidR="00F61BB4" w:rsidRDefault="0029551D">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2661" w14:textId="77777777" w:rsidR="00F61BB4" w:rsidRDefault="0029551D">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5B22" w14:textId="77777777" w:rsidR="00F61BB4" w:rsidRDefault="0029551D">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368B" w14:textId="77777777" w:rsidR="000B7314" w:rsidRDefault="000B7314">
      <w:pPr>
        <w:spacing w:after="2" w:line="277" w:lineRule="auto"/>
        <w:ind w:left="86" w:firstLine="0"/>
      </w:pPr>
      <w:r>
        <w:separator/>
      </w:r>
    </w:p>
  </w:footnote>
  <w:footnote w:type="continuationSeparator" w:id="0">
    <w:p w14:paraId="72C12FB1" w14:textId="77777777" w:rsidR="000B7314" w:rsidRDefault="000B7314">
      <w:pPr>
        <w:spacing w:after="2" w:line="277" w:lineRule="auto"/>
        <w:ind w:left="86" w:firstLine="0"/>
      </w:pPr>
      <w:r>
        <w:continuationSeparator/>
      </w:r>
    </w:p>
  </w:footnote>
  <w:footnote w:type="continuationNotice" w:id="1">
    <w:p w14:paraId="1E315919" w14:textId="77777777" w:rsidR="000B7314" w:rsidRDefault="000B7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8815" w14:textId="77777777" w:rsidR="00F61BB4" w:rsidRDefault="0029551D">
    <w:pPr>
      <w:tabs>
        <w:tab w:val="right" w:pos="9358"/>
      </w:tabs>
      <w:spacing w:after="0" w:line="259" w:lineRule="auto"/>
      <w:ind w:left="0" w:right="-1" w:firstLine="0"/>
    </w:pPr>
    <w:r>
      <w:rPr>
        <w:rFonts w:ascii="Arial" w:eastAsia="Arial" w:hAnsi="Arial" w:cs="Arial"/>
        <w:sz w:val="20"/>
      </w:rPr>
      <w:t>NISTIR</w:t>
    </w:r>
    <w:r>
      <w:rPr>
        <w:rFonts w:ascii="Arial" w:eastAsia="Arial" w:hAnsi="Arial" w:cs="Arial"/>
        <w:sz w:val="16"/>
      </w:rPr>
      <w:t xml:space="preserve"> </w:t>
    </w:r>
    <w:r>
      <w:rPr>
        <w:rFonts w:ascii="Arial" w:eastAsia="Arial" w:hAnsi="Arial" w:cs="Arial"/>
        <w:sz w:val="20"/>
      </w:rPr>
      <w:t>8323</w:t>
    </w:r>
    <w:r>
      <w:t xml:space="preserve"> </w:t>
    </w:r>
    <w:r>
      <w:tab/>
      <w:t xml:space="preserve">    </w:t>
    </w:r>
    <w:r>
      <w:rPr>
        <w:rFonts w:ascii="Arial" w:eastAsia="Arial" w:hAnsi="Arial" w:cs="Arial"/>
        <w:sz w:val="20"/>
      </w:rPr>
      <w:t>F</w:t>
    </w:r>
    <w:r>
      <w:rPr>
        <w:rFonts w:ascii="Arial" w:eastAsia="Arial" w:hAnsi="Arial" w:cs="Arial"/>
        <w:sz w:val="16"/>
      </w:rPr>
      <w:t xml:space="preserve">OUNDATIONAL </w:t>
    </w:r>
    <w:r>
      <w:rPr>
        <w:rFonts w:ascii="Arial" w:eastAsia="Arial" w:hAnsi="Arial" w:cs="Arial"/>
        <w:sz w:val="20"/>
      </w:rPr>
      <w:t>PNT</w:t>
    </w:r>
    <w:r>
      <w:rPr>
        <w:rFonts w:ascii="Arial" w:eastAsia="Arial" w:hAnsi="Arial" w:cs="Arial"/>
        <w:sz w:val="16"/>
      </w:rPr>
      <w:t xml:space="preserve"> </w:t>
    </w:r>
    <w:r>
      <w:rPr>
        <w:rFonts w:ascii="Arial" w:eastAsia="Arial" w:hAnsi="Arial" w:cs="Arial"/>
        <w:sz w:val="20"/>
      </w:rPr>
      <w:t>P</w:t>
    </w:r>
    <w:r>
      <w:rPr>
        <w:rFonts w:ascii="Arial" w:eastAsia="Arial" w:hAnsi="Arial" w:cs="Arial"/>
        <w:sz w:val="16"/>
      </w:rPr>
      <w:t xml:space="preserve">ROFILE </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86E6" w14:textId="77777777" w:rsidR="00F61BB4" w:rsidRDefault="0029551D">
    <w:pPr>
      <w:tabs>
        <w:tab w:val="right" w:pos="9358"/>
      </w:tabs>
      <w:spacing w:after="0" w:line="259" w:lineRule="auto"/>
      <w:ind w:left="0" w:right="-1" w:firstLine="0"/>
    </w:pPr>
    <w:r>
      <w:rPr>
        <w:rFonts w:ascii="Arial" w:eastAsia="Arial" w:hAnsi="Arial" w:cs="Arial"/>
        <w:sz w:val="20"/>
      </w:rPr>
      <w:t>NISTIR</w:t>
    </w:r>
    <w:r>
      <w:rPr>
        <w:rFonts w:ascii="Arial" w:eastAsia="Arial" w:hAnsi="Arial" w:cs="Arial"/>
        <w:sz w:val="16"/>
      </w:rPr>
      <w:t xml:space="preserve"> </w:t>
    </w:r>
    <w:r>
      <w:rPr>
        <w:rFonts w:ascii="Arial" w:eastAsia="Arial" w:hAnsi="Arial" w:cs="Arial"/>
        <w:sz w:val="20"/>
      </w:rPr>
      <w:t>8323</w:t>
    </w:r>
    <w:r>
      <w:t xml:space="preserve"> </w:t>
    </w:r>
    <w:r>
      <w:tab/>
      <w:t xml:space="preserve">    </w:t>
    </w:r>
    <w:r>
      <w:rPr>
        <w:rFonts w:ascii="Arial" w:eastAsia="Arial" w:hAnsi="Arial" w:cs="Arial"/>
        <w:sz w:val="20"/>
      </w:rPr>
      <w:t>F</w:t>
    </w:r>
    <w:r>
      <w:rPr>
        <w:rFonts w:ascii="Arial" w:eastAsia="Arial" w:hAnsi="Arial" w:cs="Arial"/>
        <w:sz w:val="16"/>
      </w:rPr>
      <w:t xml:space="preserve">OUNDATIONAL </w:t>
    </w:r>
    <w:r>
      <w:rPr>
        <w:rFonts w:ascii="Arial" w:eastAsia="Arial" w:hAnsi="Arial" w:cs="Arial"/>
        <w:sz w:val="20"/>
      </w:rPr>
      <w:t>PNT</w:t>
    </w:r>
    <w:r>
      <w:rPr>
        <w:rFonts w:ascii="Arial" w:eastAsia="Arial" w:hAnsi="Arial" w:cs="Arial"/>
        <w:sz w:val="16"/>
      </w:rPr>
      <w:t xml:space="preserve"> </w:t>
    </w:r>
    <w:r>
      <w:rPr>
        <w:rFonts w:ascii="Arial" w:eastAsia="Arial" w:hAnsi="Arial" w:cs="Arial"/>
        <w:sz w:val="20"/>
      </w:rPr>
      <w:t>P</w:t>
    </w:r>
    <w:r>
      <w:rPr>
        <w:rFonts w:ascii="Arial" w:eastAsia="Arial" w:hAnsi="Arial" w:cs="Arial"/>
        <w:sz w:val="16"/>
      </w:rPr>
      <w:t xml:space="preserve">ROFILE </w:t>
    </w:r>
    <w:r>
      <w:rPr>
        <w:rFonts w:ascii="Arial" w:eastAsia="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1137" w14:textId="77777777" w:rsidR="00F61BB4" w:rsidRDefault="00F61BB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4DA"/>
    <w:multiLevelType w:val="hybridMultilevel"/>
    <w:tmpl w:val="CCA0D5DE"/>
    <w:lvl w:ilvl="0" w:tplc="4EAC9A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5E42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EA0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8ADC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8B7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DC00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FA44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4CE9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A94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C4346"/>
    <w:multiLevelType w:val="hybridMultilevel"/>
    <w:tmpl w:val="32E015E2"/>
    <w:lvl w:ilvl="0" w:tplc="DBCCBF44">
      <w:start w:val="1"/>
      <w:numFmt w:val="bullet"/>
      <w:lvlText w:val="•"/>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EC5FC">
      <w:start w:val="1"/>
      <w:numFmt w:val="bullet"/>
      <w:lvlText w:val="o"/>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08024">
      <w:start w:val="1"/>
      <w:numFmt w:val="bullet"/>
      <w:lvlText w:val="▪"/>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66F0A">
      <w:start w:val="1"/>
      <w:numFmt w:val="bullet"/>
      <w:lvlText w:val="•"/>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4EB70">
      <w:start w:val="1"/>
      <w:numFmt w:val="bullet"/>
      <w:lvlText w:val="o"/>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29966">
      <w:start w:val="1"/>
      <w:numFmt w:val="bullet"/>
      <w:lvlText w:val="▪"/>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20A82">
      <w:start w:val="1"/>
      <w:numFmt w:val="bullet"/>
      <w:lvlText w:val="•"/>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6C3AE">
      <w:start w:val="1"/>
      <w:numFmt w:val="bullet"/>
      <w:lvlText w:val="o"/>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C5D70">
      <w:start w:val="1"/>
      <w:numFmt w:val="bullet"/>
      <w:lvlText w:val="▪"/>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419A6"/>
    <w:multiLevelType w:val="hybridMultilevel"/>
    <w:tmpl w:val="D44A9982"/>
    <w:lvl w:ilvl="0" w:tplc="D1703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708D0"/>
    <w:multiLevelType w:val="hybridMultilevel"/>
    <w:tmpl w:val="9BF6B45C"/>
    <w:lvl w:ilvl="0" w:tplc="A8D0C3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FC7B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3A1F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283E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049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BC90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469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AED0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FCDA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F323CC"/>
    <w:multiLevelType w:val="hybridMultilevel"/>
    <w:tmpl w:val="17300CFC"/>
    <w:lvl w:ilvl="0" w:tplc="73983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25D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0AD6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AC1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2DA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C4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1C02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022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6249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2703A2"/>
    <w:multiLevelType w:val="hybridMultilevel"/>
    <w:tmpl w:val="0BB6BA2E"/>
    <w:lvl w:ilvl="0" w:tplc="FFFFFFFF">
      <w:start w:val="1"/>
      <w:numFmt w:val="bullet"/>
      <w:lvlText w:val=""/>
      <w:lvlJc w:val="left"/>
      <w:pPr>
        <w:ind w:left="8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CA660FA">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2C203A">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187014">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6CF8C">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CE8B0A">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F678EC">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8D402">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5A234C">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A86C54"/>
    <w:multiLevelType w:val="hybridMultilevel"/>
    <w:tmpl w:val="FFFFFFFF"/>
    <w:lvl w:ilvl="0" w:tplc="3FFAE6BC">
      <w:start w:val="1"/>
      <w:numFmt w:val="bullet"/>
      <w:lvlText w:val=""/>
      <w:lvlJc w:val="left"/>
      <w:pPr>
        <w:ind w:left="720" w:hanging="360"/>
      </w:pPr>
      <w:rPr>
        <w:rFonts w:ascii="Symbol" w:hAnsi="Symbol" w:hint="default"/>
      </w:rPr>
    </w:lvl>
    <w:lvl w:ilvl="1" w:tplc="8130723E">
      <w:start w:val="1"/>
      <w:numFmt w:val="bullet"/>
      <w:lvlText w:val="o"/>
      <w:lvlJc w:val="left"/>
      <w:pPr>
        <w:ind w:left="1440" w:hanging="360"/>
      </w:pPr>
      <w:rPr>
        <w:rFonts w:ascii="Courier New" w:hAnsi="Courier New" w:hint="default"/>
      </w:rPr>
    </w:lvl>
    <w:lvl w:ilvl="2" w:tplc="2AFEDC2A">
      <w:start w:val="1"/>
      <w:numFmt w:val="bullet"/>
      <w:lvlText w:val=""/>
      <w:lvlJc w:val="left"/>
      <w:pPr>
        <w:ind w:left="2160" w:hanging="360"/>
      </w:pPr>
      <w:rPr>
        <w:rFonts w:ascii="Wingdings" w:hAnsi="Wingdings" w:hint="default"/>
      </w:rPr>
    </w:lvl>
    <w:lvl w:ilvl="3" w:tplc="B0AC6366">
      <w:start w:val="1"/>
      <w:numFmt w:val="bullet"/>
      <w:lvlText w:val=""/>
      <w:lvlJc w:val="left"/>
      <w:pPr>
        <w:ind w:left="2880" w:hanging="360"/>
      </w:pPr>
      <w:rPr>
        <w:rFonts w:ascii="Symbol" w:hAnsi="Symbol" w:hint="default"/>
      </w:rPr>
    </w:lvl>
    <w:lvl w:ilvl="4" w:tplc="CD90A038">
      <w:start w:val="1"/>
      <w:numFmt w:val="bullet"/>
      <w:lvlText w:val="o"/>
      <w:lvlJc w:val="left"/>
      <w:pPr>
        <w:ind w:left="3600" w:hanging="360"/>
      </w:pPr>
      <w:rPr>
        <w:rFonts w:ascii="Courier New" w:hAnsi="Courier New" w:hint="default"/>
      </w:rPr>
    </w:lvl>
    <w:lvl w:ilvl="5" w:tplc="179E71C8">
      <w:start w:val="1"/>
      <w:numFmt w:val="bullet"/>
      <w:lvlText w:val=""/>
      <w:lvlJc w:val="left"/>
      <w:pPr>
        <w:ind w:left="4320" w:hanging="360"/>
      </w:pPr>
      <w:rPr>
        <w:rFonts w:ascii="Wingdings" w:hAnsi="Wingdings" w:hint="default"/>
      </w:rPr>
    </w:lvl>
    <w:lvl w:ilvl="6" w:tplc="9138A7E0">
      <w:start w:val="1"/>
      <w:numFmt w:val="bullet"/>
      <w:lvlText w:val=""/>
      <w:lvlJc w:val="left"/>
      <w:pPr>
        <w:ind w:left="5040" w:hanging="360"/>
      </w:pPr>
      <w:rPr>
        <w:rFonts w:ascii="Symbol" w:hAnsi="Symbol" w:hint="default"/>
      </w:rPr>
    </w:lvl>
    <w:lvl w:ilvl="7" w:tplc="DE5270D0">
      <w:start w:val="1"/>
      <w:numFmt w:val="bullet"/>
      <w:lvlText w:val="o"/>
      <w:lvlJc w:val="left"/>
      <w:pPr>
        <w:ind w:left="5760" w:hanging="360"/>
      </w:pPr>
      <w:rPr>
        <w:rFonts w:ascii="Courier New" w:hAnsi="Courier New" w:hint="default"/>
      </w:rPr>
    </w:lvl>
    <w:lvl w:ilvl="8" w:tplc="44887F30">
      <w:start w:val="1"/>
      <w:numFmt w:val="bullet"/>
      <w:lvlText w:val=""/>
      <w:lvlJc w:val="left"/>
      <w:pPr>
        <w:ind w:left="6480" w:hanging="360"/>
      </w:pPr>
      <w:rPr>
        <w:rFonts w:ascii="Wingdings" w:hAnsi="Wingdings" w:hint="default"/>
      </w:rPr>
    </w:lvl>
  </w:abstractNum>
  <w:abstractNum w:abstractNumId="7" w15:restartNumberingAfterBreak="0">
    <w:nsid w:val="1F176D88"/>
    <w:multiLevelType w:val="hybridMultilevel"/>
    <w:tmpl w:val="8CECA0B4"/>
    <w:lvl w:ilvl="0" w:tplc="8B1E8D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063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EE49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3A92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457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C0BD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4A59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CBF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402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A0039B"/>
    <w:multiLevelType w:val="multilevel"/>
    <w:tmpl w:val="1826EB1E"/>
    <w:lvl w:ilvl="0">
      <w:start w:val="1"/>
      <w:numFmt w:val="decimal"/>
      <w:lvlText w:val="%1"/>
      <w:lvlJc w:val="left"/>
      <w:pPr>
        <w:ind w:left="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0E7AC1"/>
    <w:multiLevelType w:val="hybridMultilevel"/>
    <w:tmpl w:val="1940FFEE"/>
    <w:lvl w:ilvl="0" w:tplc="04DCCEF8">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24A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64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CD9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4F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C9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CC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022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EC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9A490E"/>
    <w:multiLevelType w:val="hybridMultilevel"/>
    <w:tmpl w:val="D44A9982"/>
    <w:lvl w:ilvl="0" w:tplc="D1703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D76F0"/>
    <w:multiLevelType w:val="hybridMultilevel"/>
    <w:tmpl w:val="3E8256DA"/>
    <w:lvl w:ilvl="0" w:tplc="41CA610A">
      <w:start w:val="1"/>
      <w:numFmt w:val="bullet"/>
      <w:lvlText w:val="•"/>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4DF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04B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E00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4C12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8BF8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407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4AD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AFE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502A53"/>
    <w:multiLevelType w:val="hybridMultilevel"/>
    <w:tmpl w:val="C9B2430A"/>
    <w:lvl w:ilvl="0" w:tplc="61E27906">
      <w:start w:val="1"/>
      <w:numFmt w:val="decimal"/>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889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4A1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83E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A32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074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EA8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68C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C850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E9525E"/>
    <w:multiLevelType w:val="hybridMultilevel"/>
    <w:tmpl w:val="6B26FCC6"/>
    <w:lvl w:ilvl="0" w:tplc="C47C7676">
      <w:start w:val="1"/>
      <w:numFmt w:val="bullet"/>
      <w:lvlText w:val=""/>
      <w:lvlJc w:val="left"/>
      <w:pPr>
        <w:ind w:left="720" w:hanging="360"/>
      </w:pPr>
      <w:rPr>
        <w:rFonts w:ascii="Symbol" w:hAnsi="Symbol" w:hint="default"/>
      </w:rPr>
    </w:lvl>
    <w:lvl w:ilvl="1" w:tplc="017E7928">
      <w:start w:val="1"/>
      <w:numFmt w:val="bullet"/>
      <w:lvlText w:val="o"/>
      <w:lvlJc w:val="left"/>
      <w:pPr>
        <w:ind w:left="1440" w:hanging="360"/>
      </w:pPr>
      <w:rPr>
        <w:rFonts w:ascii="Courier New" w:hAnsi="Courier New" w:hint="default"/>
      </w:rPr>
    </w:lvl>
    <w:lvl w:ilvl="2" w:tplc="899A3DBA">
      <w:start w:val="1"/>
      <w:numFmt w:val="bullet"/>
      <w:lvlText w:val=""/>
      <w:lvlJc w:val="left"/>
      <w:pPr>
        <w:ind w:left="2160" w:hanging="360"/>
      </w:pPr>
      <w:rPr>
        <w:rFonts w:ascii="Wingdings" w:hAnsi="Wingdings" w:hint="default"/>
      </w:rPr>
    </w:lvl>
    <w:lvl w:ilvl="3" w:tplc="9384D8AC">
      <w:start w:val="1"/>
      <w:numFmt w:val="bullet"/>
      <w:lvlText w:val=""/>
      <w:lvlJc w:val="left"/>
      <w:pPr>
        <w:ind w:left="2880" w:hanging="360"/>
      </w:pPr>
      <w:rPr>
        <w:rFonts w:ascii="Symbol" w:hAnsi="Symbol" w:hint="default"/>
      </w:rPr>
    </w:lvl>
    <w:lvl w:ilvl="4" w:tplc="E408AE3E">
      <w:start w:val="1"/>
      <w:numFmt w:val="bullet"/>
      <w:lvlText w:val="o"/>
      <w:lvlJc w:val="left"/>
      <w:pPr>
        <w:ind w:left="3600" w:hanging="360"/>
      </w:pPr>
      <w:rPr>
        <w:rFonts w:ascii="Courier New" w:hAnsi="Courier New" w:hint="default"/>
      </w:rPr>
    </w:lvl>
    <w:lvl w:ilvl="5" w:tplc="15F4AC36">
      <w:start w:val="1"/>
      <w:numFmt w:val="bullet"/>
      <w:lvlText w:val=""/>
      <w:lvlJc w:val="left"/>
      <w:pPr>
        <w:ind w:left="4320" w:hanging="360"/>
      </w:pPr>
      <w:rPr>
        <w:rFonts w:ascii="Wingdings" w:hAnsi="Wingdings" w:hint="default"/>
      </w:rPr>
    </w:lvl>
    <w:lvl w:ilvl="6" w:tplc="14BA7A78">
      <w:start w:val="1"/>
      <w:numFmt w:val="bullet"/>
      <w:lvlText w:val=""/>
      <w:lvlJc w:val="left"/>
      <w:pPr>
        <w:ind w:left="5040" w:hanging="360"/>
      </w:pPr>
      <w:rPr>
        <w:rFonts w:ascii="Symbol" w:hAnsi="Symbol" w:hint="default"/>
      </w:rPr>
    </w:lvl>
    <w:lvl w:ilvl="7" w:tplc="C47096C0">
      <w:start w:val="1"/>
      <w:numFmt w:val="bullet"/>
      <w:lvlText w:val="o"/>
      <w:lvlJc w:val="left"/>
      <w:pPr>
        <w:ind w:left="5760" w:hanging="360"/>
      </w:pPr>
      <w:rPr>
        <w:rFonts w:ascii="Courier New" w:hAnsi="Courier New" w:hint="default"/>
      </w:rPr>
    </w:lvl>
    <w:lvl w:ilvl="8" w:tplc="C9B49AA2">
      <w:start w:val="1"/>
      <w:numFmt w:val="bullet"/>
      <w:lvlText w:val=""/>
      <w:lvlJc w:val="left"/>
      <w:pPr>
        <w:ind w:left="6480" w:hanging="360"/>
      </w:pPr>
      <w:rPr>
        <w:rFonts w:ascii="Wingdings" w:hAnsi="Wingdings" w:hint="default"/>
      </w:rPr>
    </w:lvl>
  </w:abstractNum>
  <w:abstractNum w:abstractNumId="14" w15:restartNumberingAfterBreak="0">
    <w:nsid w:val="510F7488"/>
    <w:multiLevelType w:val="hybridMultilevel"/>
    <w:tmpl w:val="B7523848"/>
    <w:lvl w:ilvl="0" w:tplc="6F0CA08E">
      <w:start w:val="1"/>
      <w:numFmt w:val="bullet"/>
      <w:lvlText w:val=""/>
      <w:lvlJc w:val="left"/>
      <w:pPr>
        <w:ind w:left="720" w:hanging="360"/>
      </w:pPr>
      <w:rPr>
        <w:rFonts w:ascii="Symbol" w:hAnsi="Symbol" w:hint="default"/>
      </w:rPr>
    </w:lvl>
    <w:lvl w:ilvl="1" w:tplc="1626F056">
      <w:start w:val="1"/>
      <w:numFmt w:val="bullet"/>
      <w:lvlText w:val="o"/>
      <w:lvlJc w:val="left"/>
      <w:pPr>
        <w:ind w:left="1440" w:hanging="360"/>
      </w:pPr>
      <w:rPr>
        <w:rFonts w:ascii="Courier New" w:hAnsi="Courier New" w:hint="default"/>
      </w:rPr>
    </w:lvl>
    <w:lvl w:ilvl="2" w:tplc="B3509BFE">
      <w:start w:val="1"/>
      <w:numFmt w:val="bullet"/>
      <w:lvlText w:val=""/>
      <w:lvlJc w:val="left"/>
      <w:pPr>
        <w:ind w:left="2160" w:hanging="360"/>
      </w:pPr>
      <w:rPr>
        <w:rFonts w:ascii="Wingdings" w:hAnsi="Wingdings" w:hint="default"/>
      </w:rPr>
    </w:lvl>
    <w:lvl w:ilvl="3" w:tplc="D9646124">
      <w:start w:val="1"/>
      <w:numFmt w:val="bullet"/>
      <w:lvlText w:val=""/>
      <w:lvlJc w:val="left"/>
      <w:pPr>
        <w:ind w:left="2880" w:hanging="360"/>
      </w:pPr>
      <w:rPr>
        <w:rFonts w:ascii="Symbol" w:hAnsi="Symbol" w:hint="default"/>
      </w:rPr>
    </w:lvl>
    <w:lvl w:ilvl="4" w:tplc="0E3A26D6">
      <w:start w:val="1"/>
      <w:numFmt w:val="bullet"/>
      <w:lvlText w:val="o"/>
      <w:lvlJc w:val="left"/>
      <w:pPr>
        <w:ind w:left="3600" w:hanging="360"/>
      </w:pPr>
      <w:rPr>
        <w:rFonts w:ascii="Courier New" w:hAnsi="Courier New" w:hint="default"/>
      </w:rPr>
    </w:lvl>
    <w:lvl w:ilvl="5" w:tplc="3B6E66D0">
      <w:start w:val="1"/>
      <w:numFmt w:val="bullet"/>
      <w:lvlText w:val=""/>
      <w:lvlJc w:val="left"/>
      <w:pPr>
        <w:ind w:left="4320" w:hanging="360"/>
      </w:pPr>
      <w:rPr>
        <w:rFonts w:ascii="Wingdings" w:hAnsi="Wingdings" w:hint="default"/>
      </w:rPr>
    </w:lvl>
    <w:lvl w:ilvl="6" w:tplc="D1E01B74">
      <w:start w:val="1"/>
      <w:numFmt w:val="bullet"/>
      <w:lvlText w:val=""/>
      <w:lvlJc w:val="left"/>
      <w:pPr>
        <w:ind w:left="5040" w:hanging="360"/>
      </w:pPr>
      <w:rPr>
        <w:rFonts w:ascii="Symbol" w:hAnsi="Symbol" w:hint="default"/>
      </w:rPr>
    </w:lvl>
    <w:lvl w:ilvl="7" w:tplc="9224D93A">
      <w:start w:val="1"/>
      <w:numFmt w:val="bullet"/>
      <w:lvlText w:val="o"/>
      <w:lvlJc w:val="left"/>
      <w:pPr>
        <w:ind w:left="5760" w:hanging="360"/>
      </w:pPr>
      <w:rPr>
        <w:rFonts w:ascii="Courier New" w:hAnsi="Courier New" w:hint="default"/>
      </w:rPr>
    </w:lvl>
    <w:lvl w:ilvl="8" w:tplc="2F60D75A">
      <w:start w:val="1"/>
      <w:numFmt w:val="bullet"/>
      <w:lvlText w:val=""/>
      <w:lvlJc w:val="left"/>
      <w:pPr>
        <w:ind w:left="6480" w:hanging="360"/>
      </w:pPr>
      <w:rPr>
        <w:rFonts w:ascii="Wingdings" w:hAnsi="Wingdings" w:hint="default"/>
      </w:rPr>
    </w:lvl>
  </w:abstractNum>
  <w:abstractNum w:abstractNumId="15" w15:restartNumberingAfterBreak="0">
    <w:nsid w:val="5BF8106A"/>
    <w:multiLevelType w:val="hybridMultilevel"/>
    <w:tmpl w:val="92E609C4"/>
    <w:lvl w:ilvl="0" w:tplc="D1703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C1382"/>
    <w:multiLevelType w:val="hybridMultilevel"/>
    <w:tmpl w:val="185AADA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7" w15:restartNumberingAfterBreak="0">
    <w:nsid w:val="6B3D40D4"/>
    <w:multiLevelType w:val="hybridMultilevel"/>
    <w:tmpl w:val="FFFFFFFF"/>
    <w:lvl w:ilvl="0" w:tplc="8952970C">
      <w:start w:val="1"/>
      <w:numFmt w:val="lowerRoman"/>
      <w:lvlText w:val="%1."/>
      <w:lvlJc w:val="right"/>
      <w:pPr>
        <w:ind w:left="720" w:hanging="360"/>
      </w:pPr>
    </w:lvl>
    <w:lvl w:ilvl="1" w:tplc="0E9A8B70">
      <w:start w:val="1"/>
      <w:numFmt w:val="lowerLetter"/>
      <w:lvlText w:val="%2."/>
      <w:lvlJc w:val="left"/>
      <w:pPr>
        <w:ind w:left="1440" w:hanging="360"/>
      </w:pPr>
    </w:lvl>
    <w:lvl w:ilvl="2" w:tplc="C100B6AA">
      <w:start w:val="1"/>
      <w:numFmt w:val="lowerRoman"/>
      <w:lvlText w:val="%3."/>
      <w:lvlJc w:val="right"/>
      <w:pPr>
        <w:ind w:left="2160" w:hanging="180"/>
      </w:pPr>
    </w:lvl>
    <w:lvl w:ilvl="3" w:tplc="24F65CB8">
      <w:start w:val="1"/>
      <w:numFmt w:val="decimal"/>
      <w:lvlText w:val="%4."/>
      <w:lvlJc w:val="left"/>
      <w:pPr>
        <w:ind w:left="2880" w:hanging="360"/>
      </w:pPr>
    </w:lvl>
    <w:lvl w:ilvl="4" w:tplc="5E9C1642">
      <w:start w:val="1"/>
      <w:numFmt w:val="lowerLetter"/>
      <w:lvlText w:val="%5."/>
      <w:lvlJc w:val="left"/>
      <w:pPr>
        <w:ind w:left="3600" w:hanging="360"/>
      </w:pPr>
    </w:lvl>
    <w:lvl w:ilvl="5" w:tplc="5A922490">
      <w:start w:val="1"/>
      <w:numFmt w:val="lowerRoman"/>
      <w:lvlText w:val="%6."/>
      <w:lvlJc w:val="right"/>
      <w:pPr>
        <w:ind w:left="4320" w:hanging="180"/>
      </w:pPr>
    </w:lvl>
    <w:lvl w:ilvl="6" w:tplc="FA08C2BC">
      <w:start w:val="1"/>
      <w:numFmt w:val="decimal"/>
      <w:lvlText w:val="%7."/>
      <w:lvlJc w:val="left"/>
      <w:pPr>
        <w:ind w:left="5040" w:hanging="360"/>
      </w:pPr>
    </w:lvl>
    <w:lvl w:ilvl="7" w:tplc="5C3611AE">
      <w:start w:val="1"/>
      <w:numFmt w:val="lowerLetter"/>
      <w:lvlText w:val="%8."/>
      <w:lvlJc w:val="left"/>
      <w:pPr>
        <w:ind w:left="5760" w:hanging="360"/>
      </w:pPr>
    </w:lvl>
    <w:lvl w:ilvl="8" w:tplc="91387968">
      <w:start w:val="1"/>
      <w:numFmt w:val="lowerRoman"/>
      <w:lvlText w:val="%9."/>
      <w:lvlJc w:val="right"/>
      <w:pPr>
        <w:ind w:left="6480" w:hanging="180"/>
      </w:pPr>
    </w:lvl>
  </w:abstractNum>
  <w:abstractNum w:abstractNumId="18" w15:restartNumberingAfterBreak="0">
    <w:nsid w:val="6EAB5CD7"/>
    <w:multiLevelType w:val="hybridMultilevel"/>
    <w:tmpl w:val="BA5626F2"/>
    <w:lvl w:ilvl="0" w:tplc="8258D60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244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841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CBE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A56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CE8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0B8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A5E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9A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BC5211"/>
    <w:multiLevelType w:val="hybridMultilevel"/>
    <w:tmpl w:val="1DEC4740"/>
    <w:lvl w:ilvl="0" w:tplc="B5AE627E">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6F9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72A5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10CD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48D2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281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07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0DA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AC35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9A2300"/>
    <w:multiLevelType w:val="hybridMultilevel"/>
    <w:tmpl w:val="FFFFFFFF"/>
    <w:lvl w:ilvl="0" w:tplc="E60E4CFC">
      <w:start w:val="1"/>
      <w:numFmt w:val="bullet"/>
      <w:lvlText w:val=""/>
      <w:lvlJc w:val="left"/>
      <w:pPr>
        <w:ind w:left="720" w:hanging="360"/>
      </w:pPr>
      <w:rPr>
        <w:rFonts w:ascii="Symbol" w:hAnsi="Symbol" w:hint="default"/>
      </w:rPr>
    </w:lvl>
    <w:lvl w:ilvl="1" w:tplc="CED4410E">
      <w:start w:val="1"/>
      <w:numFmt w:val="bullet"/>
      <w:lvlText w:val="o"/>
      <w:lvlJc w:val="left"/>
      <w:pPr>
        <w:ind w:left="1440" w:hanging="360"/>
      </w:pPr>
      <w:rPr>
        <w:rFonts w:ascii="Courier New" w:hAnsi="Courier New" w:hint="default"/>
      </w:rPr>
    </w:lvl>
    <w:lvl w:ilvl="2" w:tplc="153CE858">
      <w:start w:val="1"/>
      <w:numFmt w:val="bullet"/>
      <w:lvlText w:val=""/>
      <w:lvlJc w:val="left"/>
      <w:pPr>
        <w:ind w:left="2160" w:hanging="360"/>
      </w:pPr>
      <w:rPr>
        <w:rFonts w:ascii="Wingdings" w:hAnsi="Wingdings" w:hint="default"/>
      </w:rPr>
    </w:lvl>
    <w:lvl w:ilvl="3" w:tplc="24AC28F2">
      <w:start w:val="1"/>
      <w:numFmt w:val="bullet"/>
      <w:lvlText w:val=""/>
      <w:lvlJc w:val="left"/>
      <w:pPr>
        <w:ind w:left="2880" w:hanging="360"/>
      </w:pPr>
      <w:rPr>
        <w:rFonts w:ascii="Symbol" w:hAnsi="Symbol" w:hint="default"/>
      </w:rPr>
    </w:lvl>
    <w:lvl w:ilvl="4" w:tplc="13AE5B6E">
      <w:start w:val="1"/>
      <w:numFmt w:val="bullet"/>
      <w:lvlText w:val="o"/>
      <w:lvlJc w:val="left"/>
      <w:pPr>
        <w:ind w:left="3600" w:hanging="360"/>
      </w:pPr>
      <w:rPr>
        <w:rFonts w:ascii="Courier New" w:hAnsi="Courier New" w:hint="default"/>
      </w:rPr>
    </w:lvl>
    <w:lvl w:ilvl="5" w:tplc="FDDA2870">
      <w:start w:val="1"/>
      <w:numFmt w:val="bullet"/>
      <w:lvlText w:val=""/>
      <w:lvlJc w:val="left"/>
      <w:pPr>
        <w:ind w:left="4320" w:hanging="360"/>
      </w:pPr>
      <w:rPr>
        <w:rFonts w:ascii="Wingdings" w:hAnsi="Wingdings" w:hint="default"/>
      </w:rPr>
    </w:lvl>
    <w:lvl w:ilvl="6" w:tplc="CBDE9EAC">
      <w:start w:val="1"/>
      <w:numFmt w:val="bullet"/>
      <w:lvlText w:val=""/>
      <w:lvlJc w:val="left"/>
      <w:pPr>
        <w:ind w:left="5040" w:hanging="360"/>
      </w:pPr>
      <w:rPr>
        <w:rFonts w:ascii="Symbol" w:hAnsi="Symbol" w:hint="default"/>
      </w:rPr>
    </w:lvl>
    <w:lvl w:ilvl="7" w:tplc="B65A195E">
      <w:start w:val="1"/>
      <w:numFmt w:val="bullet"/>
      <w:lvlText w:val="o"/>
      <w:lvlJc w:val="left"/>
      <w:pPr>
        <w:ind w:left="5760" w:hanging="360"/>
      </w:pPr>
      <w:rPr>
        <w:rFonts w:ascii="Courier New" w:hAnsi="Courier New" w:hint="default"/>
      </w:rPr>
    </w:lvl>
    <w:lvl w:ilvl="8" w:tplc="8FEE2D1C">
      <w:start w:val="1"/>
      <w:numFmt w:val="bullet"/>
      <w:lvlText w:val=""/>
      <w:lvlJc w:val="left"/>
      <w:pPr>
        <w:ind w:left="6480" w:hanging="360"/>
      </w:pPr>
      <w:rPr>
        <w:rFonts w:ascii="Wingdings" w:hAnsi="Wingdings" w:hint="default"/>
      </w:rPr>
    </w:lvl>
  </w:abstractNum>
  <w:abstractNum w:abstractNumId="21" w15:restartNumberingAfterBreak="0">
    <w:nsid w:val="7F64048B"/>
    <w:multiLevelType w:val="hybridMultilevel"/>
    <w:tmpl w:val="F328D1E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3"/>
  </w:num>
  <w:num w:numId="2">
    <w:abstractNumId w:val="14"/>
  </w:num>
  <w:num w:numId="3">
    <w:abstractNumId w:val="6"/>
  </w:num>
  <w:num w:numId="4">
    <w:abstractNumId w:val="20"/>
  </w:num>
  <w:num w:numId="5">
    <w:abstractNumId w:val="17"/>
  </w:num>
  <w:num w:numId="6">
    <w:abstractNumId w:val="18"/>
  </w:num>
  <w:num w:numId="7">
    <w:abstractNumId w:val="8"/>
  </w:num>
  <w:num w:numId="8">
    <w:abstractNumId w:val="11"/>
  </w:num>
  <w:num w:numId="9">
    <w:abstractNumId w:val="1"/>
  </w:num>
  <w:num w:numId="10">
    <w:abstractNumId w:val="5"/>
  </w:num>
  <w:num w:numId="11">
    <w:abstractNumId w:val="12"/>
  </w:num>
  <w:num w:numId="12">
    <w:abstractNumId w:val="9"/>
  </w:num>
  <w:num w:numId="13">
    <w:abstractNumId w:val="19"/>
  </w:num>
  <w:num w:numId="14">
    <w:abstractNumId w:val="7"/>
  </w:num>
  <w:num w:numId="15">
    <w:abstractNumId w:val="0"/>
  </w:num>
  <w:num w:numId="16">
    <w:abstractNumId w:val="3"/>
  </w:num>
  <w:num w:numId="17">
    <w:abstractNumId w:val="4"/>
  </w:num>
  <w:num w:numId="18">
    <w:abstractNumId w:val="16"/>
  </w:num>
  <w:num w:numId="19">
    <w:abstractNumId w:val="21"/>
  </w:num>
  <w:num w:numId="20">
    <w:abstractNumId w:val="10"/>
  </w:num>
  <w:num w:numId="21">
    <w:abstractNumId w:val="2"/>
  </w:num>
  <w:num w:numId="22">
    <w:abstractNumId w:val="15"/>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Michael Brule">
    <w15:presenceInfo w15:providerId="AD" w15:userId="S::jbrule@mitre.org::06e8f141-2c9d-4139-a137-7d8a88a47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B4"/>
    <w:rsid w:val="0000166A"/>
    <w:rsid w:val="00001CDB"/>
    <w:rsid w:val="00007E09"/>
    <w:rsid w:val="000249D9"/>
    <w:rsid w:val="000312B7"/>
    <w:rsid w:val="0004110A"/>
    <w:rsid w:val="00081203"/>
    <w:rsid w:val="000B7314"/>
    <w:rsid w:val="000C4165"/>
    <w:rsid w:val="000F554C"/>
    <w:rsid w:val="0011469B"/>
    <w:rsid w:val="00120180"/>
    <w:rsid w:val="00121170"/>
    <w:rsid w:val="00125742"/>
    <w:rsid w:val="001329D9"/>
    <w:rsid w:val="001436B4"/>
    <w:rsid w:val="00146469"/>
    <w:rsid w:val="00163D69"/>
    <w:rsid w:val="00166261"/>
    <w:rsid w:val="001844FB"/>
    <w:rsid w:val="00191687"/>
    <w:rsid w:val="001952A5"/>
    <w:rsid w:val="001A7442"/>
    <w:rsid w:val="001B0912"/>
    <w:rsid w:val="001B4E09"/>
    <w:rsid w:val="001D6414"/>
    <w:rsid w:val="002006EC"/>
    <w:rsid w:val="00217015"/>
    <w:rsid w:val="00220C1D"/>
    <w:rsid w:val="00227C72"/>
    <w:rsid w:val="00241058"/>
    <w:rsid w:val="00243F2E"/>
    <w:rsid w:val="00280415"/>
    <w:rsid w:val="0029551D"/>
    <w:rsid w:val="00296A8A"/>
    <w:rsid w:val="002B1360"/>
    <w:rsid w:val="002C20F7"/>
    <w:rsid w:val="002C7E4B"/>
    <w:rsid w:val="00312FFB"/>
    <w:rsid w:val="00326477"/>
    <w:rsid w:val="00355A09"/>
    <w:rsid w:val="00394B16"/>
    <w:rsid w:val="003A51FF"/>
    <w:rsid w:val="003B3571"/>
    <w:rsid w:val="003D0830"/>
    <w:rsid w:val="003D3185"/>
    <w:rsid w:val="003E3194"/>
    <w:rsid w:val="004408F0"/>
    <w:rsid w:val="0048138A"/>
    <w:rsid w:val="00482B4D"/>
    <w:rsid w:val="004A6E33"/>
    <w:rsid w:val="004C163E"/>
    <w:rsid w:val="004E3549"/>
    <w:rsid w:val="004F6ED8"/>
    <w:rsid w:val="005063AA"/>
    <w:rsid w:val="00532CF0"/>
    <w:rsid w:val="00537CFF"/>
    <w:rsid w:val="0054579D"/>
    <w:rsid w:val="0055187C"/>
    <w:rsid w:val="005633A8"/>
    <w:rsid w:val="00580D92"/>
    <w:rsid w:val="0059210C"/>
    <w:rsid w:val="005A056C"/>
    <w:rsid w:val="005A728A"/>
    <w:rsid w:val="005D0ADE"/>
    <w:rsid w:val="005D2F80"/>
    <w:rsid w:val="005E3F4E"/>
    <w:rsid w:val="005E475E"/>
    <w:rsid w:val="005E6202"/>
    <w:rsid w:val="005F1A56"/>
    <w:rsid w:val="0060064F"/>
    <w:rsid w:val="00602D3C"/>
    <w:rsid w:val="006358D3"/>
    <w:rsid w:val="00651D43"/>
    <w:rsid w:val="0065452C"/>
    <w:rsid w:val="006547D7"/>
    <w:rsid w:val="00686041"/>
    <w:rsid w:val="006B3660"/>
    <w:rsid w:val="006D2401"/>
    <w:rsid w:val="006F626B"/>
    <w:rsid w:val="0071388F"/>
    <w:rsid w:val="00720A50"/>
    <w:rsid w:val="007618B0"/>
    <w:rsid w:val="0076907A"/>
    <w:rsid w:val="007714B4"/>
    <w:rsid w:val="007A4D96"/>
    <w:rsid w:val="007C208C"/>
    <w:rsid w:val="007C6C82"/>
    <w:rsid w:val="007D205C"/>
    <w:rsid w:val="007D3188"/>
    <w:rsid w:val="007D55C3"/>
    <w:rsid w:val="007D5D06"/>
    <w:rsid w:val="007E1D84"/>
    <w:rsid w:val="007F6544"/>
    <w:rsid w:val="00836C72"/>
    <w:rsid w:val="00862066"/>
    <w:rsid w:val="00866E9D"/>
    <w:rsid w:val="0088103C"/>
    <w:rsid w:val="008A0C8F"/>
    <w:rsid w:val="008B045B"/>
    <w:rsid w:val="008B3D29"/>
    <w:rsid w:val="008C4F79"/>
    <w:rsid w:val="008D1665"/>
    <w:rsid w:val="008D1DEF"/>
    <w:rsid w:val="008E3A40"/>
    <w:rsid w:val="008F136C"/>
    <w:rsid w:val="008F7A8F"/>
    <w:rsid w:val="00930255"/>
    <w:rsid w:val="00936B7F"/>
    <w:rsid w:val="009B419D"/>
    <w:rsid w:val="009D6F0A"/>
    <w:rsid w:val="00A10C59"/>
    <w:rsid w:val="00A2487A"/>
    <w:rsid w:val="00A27931"/>
    <w:rsid w:val="00A32CC4"/>
    <w:rsid w:val="00A415D9"/>
    <w:rsid w:val="00A45FC7"/>
    <w:rsid w:val="00A659F9"/>
    <w:rsid w:val="00A770FE"/>
    <w:rsid w:val="00A807EB"/>
    <w:rsid w:val="00AA16EB"/>
    <w:rsid w:val="00AC7202"/>
    <w:rsid w:val="00AEBE97"/>
    <w:rsid w:val="00B01DBA"/>
    <w:rsid w:val="00B069D0"/>
    <w:rsid w:val="00B12798"/>
    <w:rsid w:val="00B1509A"/>
    <w:rsid w:val="00B244D8"/>
    <w:rsid w:val="00B26235"/>
    <w:rsid w:val="00B40C26"/>
    <w:rsid w:val="00B4360B"/>
    <w:rsid w:val="00B626FC"/>
    <w:rsid w:val="00B93B9A"/>
    <w:rsid w:val="00B942D0"/>
    <w:rsid w:val="00BB0E49"/>
    <w:rsid w:val="00BB4025"/>
    <w:rsid w:val="00BD045B"/>
    <w:rsid w:val="00BF2D2A"/>
    <w:rsid w:val="00C21529"/>
    <w:rsid w:val="00C31234"/>
    <w:rsid w:val="00C6745C"/>
    <w:rsid w:val="00C8795B"/>
    <w:rsid w:val="00CA37C8"/>
    <w:rsid w:val="00CA4B29"/>
    <w:rsid w:val="00CB7363"/>
    <w:rsid w:val="00CD479B"/>
    <w:rsid w:val="00CD7CA3"/>
    <w:rsid w:val="00CE027B"/>
    <w:rsid w:val="00CF6B5C"/>
    <w:rsid w:val="00D16F22"/>
    <w:rsid w:val="00D26F2B"/>
    <w:rsid w:val="00D30530"/>
    <w:rsid w:val="00D555FC"/>
    <w:rsid w:val="00D57348"/>
    <w:rsid w:val="00D70BBC"/>
    <w:rsid w:val="00D7140F"/>
    <w:rsid w:val="00D92C9D"/>
    <w:rsid w:val="00D9438D"/>
    <w:rsid w:val="00DD0828"/>
    <w:rsid w:val="00DF1E1F"/>
    <w:rsid w:val="00DF4E01"/>
    <w:rsid w:val="00DF6BF2"/>
    <w:rsid w:val="00E5478F"/>
    <w:rsid w:val="00E600FF"/>
    <w:rsid w:val="00E838C7"/>
    <w:rsid w:val="00E8598D"/>
    <w:rsid w:val="00E87C99"/>
    <w:rsid w:val="00E91110"/>
    <w:rsid w:val="00EA7A8A"/>
    <w:rsid w:val="00EC158C"/>
    <w:rsid w:val="00ED1800"/>
    <w:rsid w:val="00ED79D3"/>
    <w:rsid w:val="00F10A18"/>
    <w:rsid w:val="00F4249B"/>
    <w:rsid w:val="00F435BB"/>
    <w:rsid w:val="00F51E02"/>
    <w:rsid w:val="00F55149"/>
    <w:rsid w:val="00F57374"/>
    <w:rsid w:val="00F61BB4"/>
    <w:rsid w:val="00F763BE"/>
    <w:rsid w:val="00F86822"/>
    <w:rsid w:val="00F96BB9"/>
    <w:rsid w:val="011E6091"/>
    <w:rsid w:val="012F059A"/>
    <w:rsid w:val="01327911"/>
    <w:rsid w:val="01454937"/>
    <w:rsid w:val="014B01C2"/>
    <w:rsid w:val="016F5B2B"/>
    <w:rsid w:val="0170CB42"/>
    <w:rsid w:val="017746BD"/>
    <w:rsid w:val="01786E37"/>
    <w:rsid w:val="0179E9B4"/>
    <w:rsid w:val="01815CC5"/>
    <w:rsid w:val="0187E23C"/>
    <w:rsid w:val="018B8EAA"/>
    <w:rsid w:val="01B3BEAA"/>
    <w:rsid w:val="01EBFD08"/>
    <w:rsid w:val="0200EDA4"/>
    <w:rsid w:val="020CECF2"/>
    <w:rsid w:val="022B2603"/>
    <w:rsid w:val="023FA3CB"/>
    <w:rsid w:val="0241BBD2"/>
    <w:rsid w:val="028DC512"/>
    <w:rsid w:val="0292C733"/>
    <w:rsid w:val="0295707C"/>
    <w:rsid w:val="02C4F898"/>
    <w:rsid w:val="02CE4972"/>
    <w:rsid w:val="02CF8F40"/>
    <w:rsid w:val="02D0C12A"/>
    <w:rsid w:val="02DE105C"/>
    <w:rsid w:val="02F8E00D"/>
    <w:rsid w:val="0300DD42"/>
    <w:rsid w:val="030EA877"/>
    <w:rsid w:val="032D1BBD"/>
    <w:rsid w:val="0347C990"/>
    <w:rsid w:val="036A371C"/>
    <w:rsid w:val="0377F273"/>
    <w:rsid w:val="037BD9C8"/>
    <w:rsid w:val="037C6F16"/>
    <w:rsid w:val="038D4E3C"/>
    <w:rsid w:val="03C20C36"/>
    <w:rsid w:val="03C46ADB"/>
    <w:rsid w:val="03D8615A"/>
    <w:rsid w:val="03F871D3"/>
    <w:rsid w:val="0423AFBC"/>
    <w:rsid w:val="0427EC6C"/>
    <w:rsid w:val="042DEC6C"/>
    <w:rsid w:val="0444FDCA"/>
    <w:rsid w:val="04488199"/>
    <w:rsid w:val="046A19D3"/>
    <w:rsid w:val="046F0769"/>
    <w:rsid w:val="04D37B13"/>
    <w:rsid w:val="04D53205"/>
    <w:rsid w:val="04E399F1"/>
    <w:rsid w:val="04FA2A5A"/>
    <w:rsid w:val="050A6924"/>
    <w:rsid w:val="0513FC0A"/>
    <w:rsid w:val="051714D7"/>
    <w:rsid w:val="051F025D"/>
    <w:rsid w:val="05388E66"/>
    <w:rsid w:val="0539A479"/>
    <w:rsid w:val="055D71B4"/>
    <w:rsid w:val="0575F483"/>
    <w:rsid w:val="057B2E35"/>
    <w:rsid w:val="0580754E"/>
    <w:rsid w:val="058A1ABC"/>
    <w:rsid w:val="05CA36E3"/>
    <w:rsid w:val="0605EA34"/>
    <w:rsid w:val="060AFAA5"/>
    <w:rsid w:val="062B5BFF"/>
    <w:rsid w:val="06329B55"/>
    <w:rsid w:val="0644A09F"/>
    <w:rsid w:val="064730EA"/>
    <w:rsid w:val="06653DF2"/>
    <w:rsid w:val="06DB6EEC"/>
    <w:rsid w:val="06DD092C"/>
    <w:rsid w:val="06E47641"/>
    <w:rsid w:val="06FF606E"/>
    <w:rsid w:val="0703AB2E"/>
    <w:rsid w:val="07188D6D"/>
    <w:rsid w:val="0718A997"/>
    <w:rsid w:val="072A2CCB"/>
    <w:rsid w:val="0732F79D"/>
    <w:rsid w:val="07C831F3"/>
    <w:rsid w:val="08063483"/>
    <w:rsid w:val="08100486"/>
    <w:rsid w:val="081B3AB3"/>
    <w:rsid w:val="081C902B"/>
    <w:rsid w:val="081D1D54"/>
    <w:rsid w:val="081F9CFE"/>
    <w:rsid w:val="082305F5"/>
    <w:rsid w:val="082D4565"/>
    <w:rsid w:val="083230A8"/>
    <w:rsid w:val="085832ED"/>
    <w:rsid w:val="0859E0FF"/>
    <w:rsid w:val="0875D6C0"/>
    <w:rsid w:val="089F242F"/>
    <w:rsid w:val="08C88D92"/>
    <w:rsid w:val="08DD5E05"/>
    <w:rsid w:val="08F1A168"/>
    <w:rsid w:val="08F34307"/>
    <w:rsid w:val="09123F84"/>
    <w:rsid w:val="0912C116"/>
    <w:rsid w:val="091BECF7"/>
    <w:rsid w:val="0937D33E"/>
    <w:rsid w:val="09608F07"/>
    <w:rsid w:val="09942FCD"/>
    <w:rsid w:val="09B354EB"/>
    <w:rsid w:val="09C49B7B"/>
    <w:rsid w:val="0A1B7BC0"/>
    <w:rsid w:val="0A1C384F"/>
    <w:rsid w:val="0A21B35C"/>
    <w:rsid w:val="0A3B5F44"/>
    <w:rsid w:val="0A3F962A"/>
    <w:rsid w:val="0A46281C"/>
    <w:rsid w:val="0A846763"/>
    <w:rsid w:val="0AAA1B88"/>
    <w:rsid w:val="0AB15E96"/>
    <w:rsid w:val="0AB6A24E"/>
    <w:rsid w:val="0ADB09B8"/>
    <w:rsid w:val="0B1392AA"/>
    <w:rsid w:val="0B192842"/>
    <w:rsid w:val="0B1B4CFE"/>
    <w:rsid w:val="0B4DA2FA"/>
    <w:rsid w:val="0B5521C2"/>
    <w:rsid w:val="0B6C3105"/>
    <w:rsid w:val="0B73E32E"/>
    <w:rsid w:val="0B913D52"/>
    <w:rsid w:val="0BA135E0"/>
    <w:rsid w:val="0BA21F2B"/>
    <w:rsid w:val="0BCA9ADA"/>
    <w:rsid w:val="0C00B3D7"/>
    <w:rsid w:val="0C0422DC"/>
    <w:rsid w:val="0C0AA1AB"/>
    <w:rsid w:val="0C2633E3"/>
    <w:rsid w:val="0C352A29"/>
    <w:rsid w:val="0C38BBC6"/>
    <w:rsid w:val="0C444DFA"/>
    <w:rsid w:val="0C850574"/>
    <w:rsid w:val="0C8886A5"/>
    <w:rsid w:val="0C8D18B8"/>
    <w:rsid w:val="0C8EB459"/>
    <w:rsid w:val="0CC30E64"/>
    <w:rsid w:val="0CE086FE"/>
    <w:rsid w:val="0CF3B34A"/>
    <w:rsid w:val="0CFECD35"/>
    <w:rsid w:val="0D038E72"/>
    <w:rsid w:val="0D396B6C"/>
    <w:rsid w:val="0D62CB4B"/>
    <w:rsid w:val="0D769ABC"/>
    <w:rsid w:val="0D801887"/>
    <w:rsid w:val="0D8045F2"/>
    <w:rsid w:val="0D95A8D2"/>
    <w:rsid w:val="0DAB5B83"/>
    <w:rsid w:val="0DB17939"/>
    <w:rsid w:val="0DD4583C"/>
    <w:rsid w:val="0DEB7014"/>
    <w:rsid w:val="0E0FF0FF"/>
    <w:rsid w:val="0E3CA168"/>
    <w:rsid w:val="0E508B9B"/>
    <w:rsid w:val="0E69E5CE"/>
    <w:rsid w:val="0E9A9D96"/>
    <w:rsid w:val="0EA1B5F3"/>
    <w:rsid w:val="0EB11B27"/>
    <w:rsid w:val="0EC23CDB"/>
    <w:rsid w:val="0ED1E3F1"/>
    <w:rsid w:val="0EDF2EE3"/>
    <w:rsid w:val="0EDFDD4F"/>
    <w:rsid w:val="0EE780EC"/>
    <w:rsid w:val="0F06EA82"/>
    <w:rsid w:val="0F3085F3"/>
    <w:rsid w:val="0F30CF99"/>
    <w:rsid w:val="0F3E4A4E"/>
    <w:rsid w:val="0F4B13F3"/>
    <w:rsid w:val="0F72A93F"/>
    <w:rsid w:val="0FA9D618"/>
    <w:rsid w:val="0FC0210D"/>
    <w:rsid w:val="0FDC69EE"/>
    <w:rsid w:val="0FFAAF26"/>
    <w:rsid w:val="10093984"/>
    <w:rsid w:val="100E2CB6"/>
    <w:rsid w:val="10226499"/>
    <w:rsid w:val="103D4D1E"/>
    <w:rsid w:val="10412FFF"/>
    <w:rsid w:val="1046EE89"/>
    <w:rsid w:val="105074C0"/>
    <w:rsid w:val="10545696"/>
    <w:rsid w:val="10A11560"/>
    <w:rsid w:val="10B7E301"/>
    <w:rsid w:val="10CCCFE7"/>
    <w:rsid w:val="10DA7952"/>
    <w:rsid w:val="10F77B58"/>
    <w:rsid w:val="110BA639"/>
    <w:rsid w:val="112AFA38"/>
    <w:rsid w:val="112FBB75"/>
    <w:rsid w:val="114D6601"/>
    <w:rsid w:val="115C3BC7"/>
    <w:rsid w:val="116A7EAB"/>
    <w:rsid w:val="118A8F77"/>
    <w:rsid w:val="1190E966"/>
    <w:rsid w:val="11E265F0"/>
    <w:rsid w:val="11E74B73"/>
    <w:rsid w:val="12845AAD"/>
    <w:rsid w:val="12DCC035"/>
    <w:rsid w:val="12DD55F1"/>
    <w:rsid w:val="12EBDC59"/>
    <w:rsid w:val="1306AA5D"/>
    <w:rsid w:val="132CB9C7"/>
    <w:rsid w:val="1359A799"/>
    <w:rsid w:val="137BFB21"/>
    <w:rsid w:val="13848C4A"/>
    <w:rsid w:val="139ACF85"/>
    <w:rsid w:val="13D504F6"/>
    <w:rsid w:val="13ED5AA8"/>
    <w:rsid w:val="13F6B614"/>
    <w:rsid w:val="13F9A529"/>
    <w:rsid w:val="140689C1"/>
    <w:rsid w:val="1408FE5E"/>
    <w:rsid w:val="142CC5DE"/>
    <w:rsid w:val="144E13A1"/>
    <w:rsid w:val="146692E9"/>
    <w:rsid w:val="14680ECE"/>
    <w:rsid w:val="14686C50"/>
    <w:rsid w:val="1476DEC7"/>
    <w:rsid w:val="147886A0"/>
    <w:rsid w:val="14A9F3B9"/>
    <w:rsid w:val="14ABE2EC"/>
    <w:rsid w:val="14AF3A66"/>
    <w:rsid w:val="14C8F332"/>
    <w:rsid w:val="14C9E52E"/>
    <w:rsid w:val="14CE2049"/>
    <w:rsid w:val="14E90798"/>
    <w:rsid w:val="14F59E99"/>
    <w:rsid w:val="1507E5DE"/>
    <w:rsid w:val="1508C71E"/>
    <w:rsid w:val="151C83BD"/>
    <w:rsid w:val="15305C38"/>
    <w:rsid w:val="15413B3A"/>
    <w:rsid w:val="15517E75"/>
    <w:rsid w:val="15578CF1"/>
    <w:rsid w:val="1564D63A"/>
    <w:rsid w:val="158633ED"/>
    <w:rsid w:val="1595E074"/>
    <w:rsid w:val="15A88004"/>
    <w:rsid w:val="15ADF079"/>
    <w:rsid w:val="15B87916"/>
    <w:rsid w:val="15D0C3F4"/>
    <w:rsid w:val="15E69ADA"/>
    <w:rsid w:val="15E75970"/>
    <w:rsid w:val="15E99ACB"/>
    <w:rsid w:val="15FF5D07"/>
    <w:rsid w:val="1604B38D"/>
    <w:rsid w:val="164FA0D3"/>
    <w:rsid w:val="1650ABA7"/>
    <w:rsid w:val="1695193F"/>
    <w:rsid w:val="16A7820D"/>
    <w:rsid w:val="16E8168A"/>
    <w:rsid w:val="16F1C857"/>
    <w:rsid w:val="1700A69B"/>
    <w:rsid w:val="170C67F7"/>
    <w:rsid w:val="1731174A"/>
    <w:rsid w:val="1735DA70"/>
    <w:rsid w:val="173B7640"/>
    <w:rsid w:val="17404B7A"/>
    <w:rsid w:val="1777448F"/>
    <w:rsid w:val="178D943A"/>
    <w:rsid w:val="17A08ACB"/>
    <w:rsid w:val="17A27CA4"/>
    <w:rsid w:val="17B75B0D"/>
    <w:rsid w:val="17BD51E8"/>
    <w:rsid w:val="17D7F117"/>
    <w:rsid w:val="17E383AE"/>
    <w:rsid w:val="17E65004"/>
    <w:rsid w:val="180B56A4"/>
    <w:rsid w:val="183DD4FF"/>
    <w:rsid w:val="18508698"/>
    <w:rsid w:val="1882C06A"/>
    <w:rsid w:val="1894B212"/>
    <w:rsid w:val="1895BA17"/>
    <w:rsid w:val="18A33613"/>
    <w:rsid w:val="18C38E52"/>
    <w:rsid w:val="18DF8868"/>
    <w:rsid w:val="19062936"/>
    <w:rsid w:val="190E07D6"/>
    <w:rsid w:val="192FFCDA"/>
    <w:rsid w:val="1930D266"/>
    <w:rsid w:val="19479EDB"/>
    <w:rsid w:val="1965A47C"/>
    <w:rsid w:val="197F540F"/>
    <w:rsid w:val="19819063"/>
    <w:rsid w:val="1999EBA3"/>
    <w:rsid w:val="19AB1007"/>
    <w:rsid w:val="19C71AAB"/>
    <w:rsid w:val="19CB52D6"/>
    <w:rsid w:val="19D36A79"/>
    <w:rsid w:val="19EC6197"/>
    <w:rsid w:val="19EF6EED"/>
    <w:rsid w:val="1A1B7050"/>
    <w:rsid w:val="1A3A2853"/>
    <w:rsid w:val="1A6EFBE0"/>
    <w:rsid w:val="1A8B1D48"/>
    <w:rsid w:val="1AA05B68"/>
    <w:rsid w:val="1AB4FF41"/>
    <w:rsid w:val="1AC06F89"/>
    <w:rsid w:val="1AC7003A"/>
    <w:rsid w:val="1ACE6175"/>
    <w:rsid w:val="1AD2EF91"/>
    <w:rsid w:val="1AF8B275"/>
    <w:rsid w:val="1B46F68B"/>
    <w:rsid w:val="1B4F3132"/>
    <w:rsid w:val="1B6DC459"/>
    <w:rsid w:val="1B8AFEAA"/>
    <w:rsid w:val="1BB9345B"/>
    <w:rsid w:val="1BCD5AD9"/>
    <w:rsid w:val="1BD19703"/>
    <w:rsid w:val="1BD417BE"/>
    <w:rsid w:val="1BDBA8AB"/>
    <w:rsid w:val="1BE80B3A"/>
    <w:rsid w:val="1BEAD9E2"/>
    <w:rsid w:val="1C00E420"/>
    <w:rsid w:val="1C5F087F"/>
    <w:rsid w:val="1C604D51"/>
    <w:rsid w:val="1C6CFF39"/>
    <w:rsid w:val="1C6F0B1F"/>
    <w:rsid w:val="1CA2DDB4"/>
    <w:rsid w:val="1CAC1378"/>
    <w:rsid w:val="1CC6F3C2"/>
    <w:rsid w:val="1CCABFF6"/>
    <w:rsid w:val="1CCEC714"/>
    <w:rsid w:val="1D0BEF9B"/>
    <w:rsid w:val="1D0EAFC6"/>
    <w:rsid w:val="1D2795A2"/>
    <w:rsid w:val="1D4FA1CA"/>
    <w:rsid w:val="1D56BF80"/>
    <w:rsid w:val="1DA2269C"/>
    <w:rsid w:val="1DACEA45"/>
    <w:rsid w:val="1DC9AC35"/>
    <w:rsid w:val="1E197C74"/>
    <w:rsid w:val="1E3355CB"/>
    <w:rsid w:val="1E341672"/>
    <w:rsid w:val="1E55748E"/>
    <w:rsid w:val="1E771654"/>
    <w:rsid w:val="1E97306C"/>
    <w:rsid w:val="1E98C8BC"/>
    <w:rsid w:val="1EA1143C"/>
    <w:rsid w:val="1EA3EE02"/>
    <w:rsid w:val="1EB1A56D"/>
    <w:rsid w:val="1EB61EFE"/>
    <w:rsid w:val="1EB71CFC"/>
    <w:rsid w:val="1ED20E96"/>
    <w:rsid w:val="1EDCD8BC"/>
    <w:rsid w:val="1EF37163"/>
    <w:rsid w:val="1EF6E7F2"/>
    <w:rsid w:val="1F06581E"/>
    <w:rsid w:val="1F12216A"/>
    <w:rsid w:val="1F1953E5"/>
    <w:rsid w:val="1F27BCA1"/>
    <w:rsid w:val="1F36A3B7"/>
    <w:rsid w:val="1F53FAFA"/>
    <w:rsid w:val="1F5AD012"/>
    <w:rsid w:val="1F854102"/>
    <w:rsid w:val="1F94498F"/>
    <w:rsid w:val="1FA21AE0"/>
    <w:rsid w:val="1FDAD5E1"/>
    <w:rsid w:val="1FE2BD5F"/>
    <w:rsid w:val="1FE38468"/>
    <w:rsid w:val="2029CB2A"/>
    <w:rsid w:val="202EE3CE"/>
    <w:rsid w:val="205D0334"/>
    <w:rsid w:val="2074B50B"/>
    <w:rsid w:val="208B435A"/>
    <w:rsid w:val="20AE1748"/>
    <w:rsid w:val="20B716B0"/>
    <w:rsid w:val="20D7161C"/>
    <w:rsid w:val="210495E3"/>
    <w:rsid w:val="2118860A"/>
    <w:rsid w:val="212E19C8"/>
    <w:rsid w:val="21730F92"/>
    <w:rsid w:val="218DEA60"/>
    <w:rsid w:val="21BA12B9"/>
    <w:rsid w:val="21CCFF35"/>
    <w:rsid w:val="21F6D90A"/>
    <w:rsid w:val="2204FE0E"/>
    <w:rsid w:val="221FDBE5"/>
    <w:rsid w:val="2245C8DC"/>
    <w:rsid w:val="2247BEA8"/>
    <w:rsid w:val="225C819F"/>
    <w:rsid w:val="22641457"/>
    <w:rsid w:val="22663BBB"/>
    <w:rsid w:val="227ECC22"/>
    <w:rsid w:val="22873DE7"/>
    <w:rsid w:val="229F3C3D"/>
    <w:rsid w:val="23193D45"/>
    <w:rsid w:val="232F2EAF"/>
    <w:rsid w:val="232F8C04"/>
    <w:rsid w:val="2333295F"/>
    <w:rsid w:val="236422C0"/>
    <w:rsid w:val="23644CE5"/>
    <w:rsid w:val="237D4BC4"/>
    <w:rsid w:val="237E1A5D"/>
    <w:rsid w:val="2386A590"/>
    <w:rsid w:val="23965133"/>
    <w:rsid w:val="23CA5915"/>
    <w:rsid w:val="23D0E4C1"/>
    <w:rsid w:val="23DA24C5"/>
    <w:rsid w:val="23EF1238"/>
    <w:rsid w:val="23FF89B1"/>
    <w:rsid w:val="243C3412"/>
    <w:rsid w:val="2442B5A1"/>
    <w:rsid w:val="244E83C6"/>
    <w:rsid w:val="244ED971"/>
    <w:rsid w:val="244FAD25"/>
    <w:rsid w:val="2452DCBE"/>
    <w:rsid w:val="245676FC"/>
    <w:rsid w:val="2460AAF4"/>
    <w:rsid w:val="2471F842"/>
    <w:rsid w:val="2476DC86"/>
    <w:rsid w:val="24803C10"/>
    <w:rsid w:val="24B2C030"/>
    <w:rsid w:val="24CA5103"/>
    <w:rsid w:val="24D70796"/>
    <w:rsid w:val="24ECDB20"/>
    <w:rsid w:val="2508B4D9"/>
    <w:rsid w:val="25462BA2"/>
    <w:rsid w:val="255CC792"/>
    <w:rsid w:val="25D18B8B"/>
    <w:rsid w:val="25F8E113"/>
    <w:rsid w:val="26608673"/>
    <w:rsid w:val="26953E94"/>
    <w:rsid w:val="26A24251"/>
    <w:rsid w:val="26A98C9C"/>
    <w:rsid w:val="2712C86B"/>
    <w:rsid w:val="273B1D72"/>
    <w:rsid w:val="2752863B"/>
    <w:rsid w:val="275B8E83"/>
    <w:rsid w:val="275E393E"/>
    <w:rsid w:val="2796D414"/>
    <w:rsid w:val="27D5D524"/>
    <w:rsid w:val="27D9B06D"/>
    <w:rsid w:val="27F8DD8E"/>
    <w:rsid w:val="2817E24B"/>
    <w:rsid w:val="2817E698"/>
    <w:rsid w:val="2832AAA8"/>
    <w:rsid w:val="285DDBD4"/>
    <w:rsid w:val="2871AFDC"/>
    <w:rsid w:val="287ACD6F"/>
    <w:rsid w:val="28DAC33B"/>
    <w:rsid w:val="28EDDDC0"/>
    <w:rsid w:val="29133E1A"/>
    <w:rsid w:val="2936FF79"/>
    <w:rsid w:val="296B3AF8"/>
    <w:rsid w:val="29ADCB85"/>
    <w:rsid w:val="29CD44C2"/>
    <w:rsid w:val="2A0E486E"/>
    <w:rsid w:val="2A13BD3E"/>
    <w:rsid w:val="2A3437F6"/>
    <w:rsid w:val="2A528DEC"/>
    <w:rsid w:val="2A66FAA7"/>
    <w:rsid w:val="2A7228E2"/>
    <w:rsid w:val="2A7DF862"/>
    <w:rsid w:val="2A809462"/>
    <w:rsid w:val="2AAC1A58"/>
    <w:rsid w:val="2AB2B711"/>
    <w:rsid w:val="2AC3B832"/>
    <w:rsid w:val="2AD2CFDA"/>
    <w:rsid w:val="2ADCE08F"/>
    <w:rsid w:val="2AEAA7D0"/>
    <w:rsid w:val="2AF63CDD"/>
    <w:rsid w:val="2AF955AA"/>
    <w:rsid w:val="2B134E56"/>
    <w:rsid w:val="2B2B2DA4"/>
    <w:rsid w:val="2B3C7BAB"/>
    <w:rsid w:val="2B6AE111"/>
    <w:rsid w:val="2B6C9373"/>
    <w:rsid w:val="2B849335"/>
    <w:rsid w:val="2BA9D691"/>
    <w:rsid w:val="2BCD1EDB"/>
    <w:rsid w:val="2C1E16D4"/>
    <w:rsid w:val="2C5E17F0"/>
    <w:rsid w:val="2C635145"/>
    <w:rsid w:val="2C651131"/>
    <w:rsid w:val="2CCFC7F7"/>
    <w:rsid w:val="2CE18E7A"/>
    <w:rsid w:val="2CED0E46"/>
    <w:rsid w:val="2CFB6021"/>
    <w:rsid w:val="2D0361C3"/>
    <w:rsid w:val="2D14658A"/>
    <w:rsid w:val="2D349084"/>
    <w:rsid w:val="2D398281"/>
    <w:rsid w:val="2D3B32B5"/>
    <w:rsid w:val="2D43C5E9"/>
    <w:rsid w:val="2D712262"/>
    <w:rsid w:val="2D760D83"/>
    <w:rsid w:val="2D9AAC23"/>
    <w:rsid w:val="2DAEACF3"/>
    <w:rsid w:val="2DBB9D64"/>
    <w:rsid w:val="2DC34FDC"/>
    <w:rsid w:val="2DC45A6D"/>
    <w:rsid w:val="2DE4D62D"/>
    <w:rsid w:val="2DF51E4B"/>
    <w:rsid w:val="2E141DB6"/>
    <w:rsid w:val="2E3D00BC"/>
    <w:rsid w:val="2E3E1490"/>
    <w:rsid w:val="2E4506F5"/>
    <w:rsid w:val="2E46C1FC"/>
    <w:rsid w:val="2E47BAF7"/>
    <w:rsid w:val="2E4E695F"/>
    <w:rsid w:val="2E661408"/>
    <w:rsid w:val="2E68F8AF"/>
    <w:rsid w:val="2E7EF593"/>
    <w:rsid w:val="2EA5B20A"/>
    <w:rsid w:val="2EB90352"/>
    <w:rsid w:val="2EBA6B90"/>
    <w:rsid w:val="2ECAB76E"/>
    <w:rsid w:val="2ED8A568"/>
    <w:rsid w:val="2F09B10A"/>
    <w:rsid w:val="2F364E2C"/>
    <w:rsid w:val="2F5BBB93"/>
    <w:rsid w:val="2FBA40E9"/>
    <w:rsid w:val="2FE8E82D"/>
    <w:rsid w:val="302BD662"/>
    <w:rsid w:val="302F2900"/>
    <w:rsid w:val="30362328"/>
    <w:rsid w:val="303C20DA"/>
    <w:rsid w:val="304A934E"/>
    <w:rsid w:val="30A21CD4"/>
    <w:rsid w:val="30A475CA"/>
    <w:rsid w:val="30AA4FCE"/>
    <w:rsid w:val="30B09B9C"/>
    <w:rsid w:val="30B68A96"/>
    <w:rsid w:val="30DA5332"/>
    <w:rsid w:val="312FE3CD"/>
    <w:rsid w:val="3156114A"/>
    <w:rsid w:val="31585BEE"/>
    <w:rsid w:val="3169F06A"/>
    <w:rsid w:val="316B69F1"/>
    <w:rsid w:val="316D0EC2"/>
    <w:rsid w:val="318CB254"/>
    <w:rsid w:val="31C4EEB0"/>
    <w:rsid w:val="31DB6506"/>
    <w:rsid w:val="31E0FCD9"/>
    <w:rsid w:val="31E1158F"/>
    <w:rsid w:val="31E541B2"/>
    <w:rsid w:val="31EA3914"/>
    <w:rsid w:val="31F1EBBF"/>
    <w:rsid w:val="320BBF28"/>
    <w:rsid w:val="3232EF75"/>
    <w:rsid w:val="325A4BBE"/>
    <w:rsid w:val="3275A461"/>
    <w:rsid w:val="328311DA"/>
    <w:rsid w:val="328CD6BD"/>
    <w:rsid w:val="32A261A9"/>
    <w:rsid w:val="32B8EBDC"/>
    <w:rsid w:val="32C88A46"/>
    <w:rsid w:val="32CA13AD"/>
    <w:rsid w:val="32CCD246"/>
    <w:rsid w:val="33167155"/>
    <w:rsid w:val="33330CCE"/>
    <w:rsid w:val="334487C6"/>
    <w:rsid w:val="334BCB49"/>
    <w:rsid w:val="335BC5FF"/>
    <w:rsid w:val="337CCD3A"/>
    <w:rsid w:val="337CE5F0"/>
    <w:rsid w:val="33800901"/>
    <w:rsid w:val="338DDCB3"/>
    <w:rsid w:val="3392041D"/>
    <w:rsid w:val="33D3C29C"/>
    <w:rsid w:val="33E40D59"/>
    <w:rsid w:val="34154357"/>
    <w:rsid w:val="3415ACA8"/>
    <w:rsid w:val="345DB7DA"/>
    <w:rsid w:val="346C878E"/>
    <w:rsid w:val="34B8228F"/>
    <w:rsid w:val="34D36553"/>
    <w:rsid w:val="34D9CDCA"/>
    <w:rsid w:val="34DCECEB"/>
    <w:rsid w:val="34FE5FFF"/>
    <w:rsid w:val="34FF753E"/>
    <w:rsid w:val="3526AC5B"/>
    <w:rsid w:val="35281A78"/>
    <w:rsid w:val="35385411"/>
    <w:rsid w:val="354A3A05"/>
    <w:rsid w:val="3556714A"/>
    <w:rsid w:val="355F268F"/>
    <w:rsid w:val="356F6C37"/>
    <w:rsid w:val="3571A896"/>
    <w:rsid w:val="35BAB29C"/>
    <w:rsid w:val="35C2C4A9"/>
    <w:rsid w:val="35E0F9EF"/>
    <w:rsid w:val="35E278F5"/>
    <w:rsid w:val="35F07012"/>
    <w:rsid w:val="35F73050"/>
    <w:rsid w:val="35FD1DF5"/>
    <w:rsid w:val="36023404"/>
    <w:rsid w:val="3638EF84"/>
    <w:rsid w:val="36537147"/>
    <w:rsid w:val="36812D7E"/>
    <w:rsid w:val="368F2502"/>
    <w:rsid w:val="369A640B"/>
    <w:rsid w:val="36B9D4D2"/>
    <w:rsid w:val="36DB6743"/>
    <w:rsid w:val="3730838B"/>
    <w:rsid w:val="3731BF3E"/>
    <w:rsid w:val="3744664F"/>
    <w:rsid w:val="376F6195"/>
    <w:rsid w:val="3785FCF4"/>
    <w:rsid w:val="3799279F"/>
    <w:rsid w:val="37C6E7F4"/>
    <w:rsid w:val="37EFD04A"/>
    <w:rsid w:val="38096558"/>
    <w:rsid w:val="38397E78"/>
    <w:rsid w:val="38426847"/>
    <w:rsid w:val="38561130"/>
    <w:rsid w:val="38641C72"/>
    <w:rsid w:val="389BE42F"/>
    <w:rsid w:val="38A553C4"/>
    <w:rsid w:val="38A58F70"/>
    <w:rsid w:val="38D1CFB5"/>
    <w:rsid w:val="38E036B0"/>
    <w:rsid w:val="39440150"/>
    <w:rsid w:val="395CD5AA"/>
    <w:rsid w:val="399399FD"/>
    <w:rsid w:val="3993C19F"/>
    <w:rsid w:val="39C9DAC3"/>
    <w:rsid w:val="39D204CD"/>
    <w:rsid w:val="39D28508"/>
    <w:rsid w:val="3A03D60D"/>
    <w:rsid w:val="3A0723C3"/>
    <w:rsid w:val="3A1D7B14"/>
    <w:rsid w:val="3A214035"/>
    <w:rsid w:val="3A42C6B9"/>
    <w:rsid w:val="3A51E830"/>
    <w:rsid w:val="3A5E40C2"/>
    <w:rsid w:val="3A8E6611"/>
    <w:rsid w:val="3A929576"/>
    <w:rsid w:val="3AA04E8B"/>
    <w:rsid w:val="3AD1EBBE"/>
    <w:rsid w:val="3ADE44DB"/>
    <w:rsid w:val="3AEC3B95"/>
    <w:rsid w:val="3B1C6E23"/>
    <w:rsid w:val="3B30F303"/>
    <w:rsid w:val="3B45D3EE"/>
    <w:rsid w:val="3B6DD52E"/>
    <w:rsid w:val="3BD24D6E"/>
    <w:rsid w:val="3BD816E6"/>
    <w:rsid w:val="3BFD22BF"/>
    <w:rsid w:val="3BFF31DD"/>
    <w:rsid w:val="3C16BE1A"/>
    <w:rsid w:val="3C17D772"/>
    <w:rsid w:val="3C1F6B83"/>
    <w:rsid w:val="3C37FC68"/>
    <w:rsid w:val="3C398835"/>
    <w:rsid w:val="3C7FE202"/>
    <w:rsid w:val="3CB395CC"/>
    <w:rsid w:val="3CB44705"/>
    <w:rsid w:val="3CB8CD68"/>
    <w:rsid w:val="3CC131F5"/>
    <w:rsid w:val="3CCFF193"/>
    <w:rsid w:val="3CE7C3E2"/>
    <w:rsid w:val="3D32F8C1"/>
    <w:rsid w:val="3D3AB1E9"/>
    <w:rsid w:val="3D4B67C5"/>
    <w:rsid w:val="3D4CF85D"/>
    <w:rsid w:val="3D7276CD"/>
    <w:rsid w:val="3D75F89D"/>
    <w:rsid w:val="3D7DD8D0"/>
    <w:rsid w:val="3D912544"/>
    <w:rsid w:val="3D9A04A7"/>
    <w:rsid w:val="3DA80860"/>
    <w:rsid w:val="3DD2769B"/>
    <w:rsid w:val="3DF4E0F8"/>
    <w:rsid w:val="3E17D71A"/>
    <w:rsid w:val="3E56C6E8"/>
    <w:rsid w:val="3E5F11CE"/>
    <w:rsid w:val="3E842010"/>
    <w:rsid w:val="3E960C8F"/>
    <w:rsid w:val="3EA38CBF"/>
    <w:rsid w:val="3EF5C464"/>
    <w:rsid w:val="3EFE8E11"/>
    <w:rsid w:val="3F433E94"/>
    <w:rsid w:val="3F5570E4"/>
    <w:rsid w:val="3F657CCB"/>
    <w:rsid w:val="3F68AC8C"/>
    <w:rsid w:val="3F7128F7"/>
    <w:rsid w:val="3F7E0D97"/>
    <w:rsid w:val="3F8C9FC2"/>
    <w:rsid w:val="3F964754"/>
    <w:rsid w:val="3F9B6F13"/>
    <w:rsid w:val="3F9DF5C0"/>
    <w:rsid w:val="3FB2BF84"/>
    <w:rsid w:val="3FB8EB62"/>
    <w:rsid w:val="3FE1B67A"/>
    <w:rsid w:val="400DD116"/>
    <w:rsid w:val="40129AAA"/>
    <w:rsid w:val="40142191"/>
    <w:rsid w:val="4020AE56"/>
    <w:rsid w:val="40391C47"/>
    <w:rsid w:val="404E396B"/>
    <w:rsid w:val="404E8B3F"/>
    <w:rsid w:val="405662A9"/>
    <w:rsid w:val="4080F843"/>
    <w:rsid w:val="4082C81F"/>
    <w:rsid w:val="40B291FF"/>
    <w:rsid w:val="40C23422"/>
    <w:rsid w:val="40C427A6"/>
    <w:rsid w:val="40D3452A"/>
    <w:rsid w:val="4119AC1A"/>
    <w:rsid w:val="415FB747"/>
    <w:rsid w:val="41706E8C"/>
    <w:rsid w:val="41725CA5"/>
    <w:rsid w:val="417D72F3"/>
    <w:rsid w:val="41933FDB"/>
    <w:rsid w:val="41A8ADEA"/>
    <w:rsid w:val="41B02A16"/>
    <w:rsid w:val="41DDF846"/>
    <w:rsid w:val="41F35704"/>
    <w:rsid w:val="42016426"/>
    <w:rsid w:val="42226C56"/>
    <w:rsid w:val="42357469"/>
    <w:rsid w:val="4241EE4C"/>
    <w:rsid w:val="4259DB81"/>
    <w:rsid w:val="4269D655"/>
    <w:rsid w:val="427C227D"/>
    <w:rsid w:val="42808EBA"/>
    <w:rsid w:val="42868E74"/>
    <w:rsid w:val="4292332A"/>
    <w:rsid w:val="42975848"/>
    <w:rsid w:val="42D5B358"/>
    <w:rsid w:val="42F5EF33"/>
    <w:rsid w:val="42F640E2"/>
    <w:rsid w:val="4309735D"/>
    <w:rsid w:val="43214C07"/>
    <w:rsid w:val="4322FED2"/>
    <w:rsid w:val="4323492E"/>
    <w:rsid w:val="4329610F"/>
    <w:rsid w:val="432A562A"/>
    <w:rsid w:val="432B2F55"/>
    <w:rsid w:val="434B8315"/>
    <w:rsid w:val="43622531"/>
    <w:rsid w:val="436E50C1"/>
    <w:rsid w:val="43934078"/>
    <w:rsid w:val="439774D8"/>
    <w:rsid w:val="43AC110A"/>
    <w:rsid w:val="43AF6177"/>
    <w:rsid w:val="43C51565"/>
    <w:rsid w:val="440DDA65"/>
    <w:rsid w:val="4424D797"/>
    <w:rsid w:val="44255A7F"/>
    <w:rsid w:val="444B5352"/>
    <w:rsid w:val="44724FE0"/>
    <w:rsid w:val="4485A19E"/>
    <w:rsid w:val="44960C6E"/>
    <w:rsid w:val="44AFF1DA"/>
    <w:rsid w:val="44D8A693"/>
    <w:rsid w:val="44E60BCD"/>
    <w:rsid w:val="450CC513"/>
    <w:rsid w:val="45130E32"/>
    <w:rsid w:val="45147AF0"/>
    <w:rsid w:val="45397077"/>
    <w:rsid w:val="45446CE5"/>
    <w:rsid w:val="4557AB8D"/>
    <w:rsid w:val="45896E56"/>
    <w:rsid w:val="4594F960"/>
    <w:rsid w:val="45A0642E"/>
    <w:rsid w:val="45AF0B48"/>
    <w:rsid w:val="45CE9A44"/>
    <w:rsid w:val="45E24C70"/>
    <w:rsid w:val="45FA52AB"/>
    <w:rsid w:val="45FD1DEF"/>
    <w:rsid w:val="4609094F"/>
    <w:rsid w:val="461ECB76"/>
    <w:rsid w:val="4653E343"/>
    <w:rsid w:val="467D483D"/>
    <w:rsid w:val="46B3613A"/>
    <w:rsid w:val="46B69B47"/>
    <w:rsid w:val="46D6E76F"/>
    <w:rsid w:val="46FCB627"/>
    <w:rsid w:val="4729ADE4"/>
    <w:rsid w:val="47518924"/>
    <w:rsid w:val="47634CB5"/>
    <w:rsid w:val="4764F032"/>
    <w:rsid w:val="476EB0CE"/>
    <w:rsid w:val="4775BBC7"/>
    <w:rsid w:val="47A794D4"/>
    <w:rsid w:val="47CC441F"/>
    <w:rsid w:val="47D539AB"/>
    <w:rsid w:val="47DCE480"/>
    <w:rsid w:val="47EF7619"/>
    <w:rsid w:val="4809FA8B"/>
    <w:rsid w:val="4829B515"/>
    <w:rsid w:val="483103BD"/>
    <w:rsid w:val="48696214"/>
    <w:rsid w:val="4898399F"/>
    <w:rsid w:val="4898D921"/>
    <w:rsid w:val="48B709F6"/>
    <w:rsid w:val="48F73C51"/>
    <w:rsid w:val="48FD5713"/>
    <w:rsid w:val="490B437E"/>
    <w:rsid w:val="490C5F11"/>
    <w:rsid w:val="49116F82"/>
    <w:rsid w:val="49395EAB"/>
    <w:rsid w:val="493E9B18"/>
    <w:rsid w:val="4940B4B9"/>
    <w:rsid w:val="495D1E26"/>
    <w:rsid w:val="4960DEB3"/>
    <w:rsid w:val="4970F4FB"/>
    <w:rsid w:val="498F5691"/>
    <w:rsid w:val="49924056"/>
    <w:rsid w:val="49949747"/>
    <w:rsid w:val="49A5C471"/>
    <w:rsid w:val="49B89AD8"/>
    <w:rsid w:val="49C08387"/>
    <w:rsid w:val="49C0C85C"/>
    <w:rsid w:val="4A076F1B"/>
    <w:rsid w:val="4A31044F"/>
    <w:rsid w:val="4A6AFECB"/>
    <w:rsid w:val="4A78978C"/>
    <w:rsid w:val="4A795BF6"/>
    <w:rsid w:val="4A85FECC"/>
    <w:rsid w:val="4A89759C"/>
    <w:rsid w:val="4A8B1F2C"/>
    <w:rsid w:val="4A9F095F"/>
    <w:rsid w:val="4AA713DF"/>
    <w:rsid w:val="4AAD3FE3"/>
    <w:rsid w:val="4AD3C180"/>
    <w:rsid w:val="4AE031B5"/>
    <w:rsid w:val="4B04B6C4"/>
    <w:rsid w:val="4B1B5908"/>
    <w:rsid w:val="4B235612"/>
    <w:rsid w:val="4B336602"/>
    <w:rsid w:val="4B34C0BC"/>
    <w:rsid w:val="4B35DBF6"/>
    <w:rsid w:val="4B3C1255"/>
    <w:rsid w:val="4B3D8AFA"/>
    <w:rsid w:val="4B4063CA"/>
    <w:rsid w:val="4B6CF1BB"/>
    <w:rsid w:val="4B74B877"/>
    <w:rsid w:val="4B7AD017"/>
    <w:rsid w:val="4B939BD5"/>
    <w:rsid w:val="4BC650E5"/>
    <w:rsid w:val="4BF605AF"/>
    <w:rsid w:val="4C06FA92"/>
    <w:rsid w:val="4C377957"/>
    <w:rsid w:val="4C4A8307"/>
    <w:rsid w:val="4C70E25D"/>
    <w:rsid w:val="4C7A4D0F"/>
    <w:rsid w:val="4CB032C8"/>
    <w:rsid w:val="4CD1AC57"/>
    <w:rsid w:val="4CD97C3C"/>
    <w:rsid w:val="4CE038FF"/>
    <w:rsid w:val="4CF5A42A"/>
    <w:rsid w:val="4D2F6C36"/>
    <w:rsid w:val="4D65384C"/>
    <w:rsid w:val="4D7EE502"/>
    <w:rsid w:val="4D7F8A07"/>
    <w:rsid w:val="4D94803B"/>
    <w:rsid w:val="4DA0BF63"/>
    <w:rsid w:val="4DA49F55"/>
    <w:rsid w:val="4DBD81C4"/>
    <w:rsid w:val="4DC9E319"/>
    <w:rsid w:val="4DCAAD74"/>
    <w:rsid w:val="4DCFD348"/>
    <w:rsid w:val="4DD8BFB4"/>
    <w:rsid w:val="4E35C937"/>
    <w:rsid w:val="4E490FE9"/>
    <w:rsid w:val="4E8F0A6D"/>
    <w:rsid w:val="4EA76F91"/>
    <w:rsid w:val="4EC049FD"/>
    <w:rsid w:val="4ED31B0E"/>
    <w:rsid w:val="4ED57288"/>
    <w:rsid w:val="4EDA6776"/>
    <w:rsid w:val="4EDF7341"/>
    <w:rsid w:val="4EEBD3BA"/>
    <w:rsid w:val="4F069BAA"/>
    <w:rsid w:val="4F15BFFB"/>
    <w:rsid w:val="4F2CB67C"/>
    <w:rsid w:val="4F45F409"/>
    <w:rsid w:val="4F4A7353"/>
    <w:rsid w:val="4F59105C"/>
    <w:rsid w:val="4F5C542D"/>
    <w:rsid w:val="4F96A758"/>
    <w:rsid w:val="4F9743F8"/>
    <w:rsid w:val="4FCECE08"/>
    <w:rsid w:val="4FCF9CB4"/>
    <w:rsid w:val="4FE106C5"/>
    <w:rsid w:val="4FE7D38A"/>
    <w:rsid w:val="4FE8597D"/>
    <w:rsid w:val="4FF34853"/>
    <w:rsid w:val="4FF40640"/>
    <w:rsid w:val="4FF5FE11"/>
    <w:rsid w:val="4FF77B44"/>
    <w:rsid w:val="4FFDB693"/>
    <w:rsid w:val="5005737B"/>
    <w:rsid w:val="50209536"/>
    <w:rsid w:val="502322A7"/>
    <w:rsid w:val="505592B7"/>
    <w:rsid w:val="50605B8A"/>
    <w:rsid w:val="5066EA1D"/>
    <w:rsid w:val="50738DEA"/>
    <w:rsid w:val="50971373"/>
    <w:rsid w:val="50A6B276"/>
    <w:rsid w:val="50B0CAD9"/>
    <w:rsid w:val="50BF0BA1"/>
    <w:rsid w:val="50DE679E"/>
    <w:rsid w:val="50E3E418"/>
    <w:rsid w:val="50E925D9"/>
    <w:rsid w:val="50E9EF59"/>
    <w:rsid w:val="5110BAAE"/>
    <w:rsid w:val="511DD735"/>
    <w:rsid w:val="51953D77"/>
    <w:rsid w:val="5196A219"/>
    <w:rsid w:val="5197ADF9"/>
    <w:rsid w:val="51B5C169"/>
    <w:rsid w:val="51B6EE41"/>
    <w:rsid w:val="51D2DE51"/>
    <w:rsid w:val="51D5C9F7"/>
    <w:rsid w:val="51E11A3A"/>
    <w:rsid w:val="51EE0C9B"/>
    <w:rsid w:val="52074C00"/>
    <w:rsid w:val="520E63AA"/>
    <w:rsid w:val="52273711"/>
    <w:rsid w:val="52566342"/>
    <w:rsid w:val="5267EA72"/>
    <w:rsid w:val="526BCCBA"/>
    <w:rsid w:val="528F954F"/>
    <w:rsid w:val="52A9D2A5"/>
    <w:rsid w:val="52F5EDC3"/>
    <w:rsid w:val="52FC19C7"/>
    <w:rsid w:val="5306C64B"/>
    <w:rsid w:val="530EFCD1"/>
    <w:rsid w:val="5316CCB6"/>
    <w:rsid w:val="53385B77"/>
    <w:rsid w:val="5348677A"/>
    <w:rsid w:val="536ECA5F"/>
    <w:rsid w:val="53BEA676"/>
    <w:rsid w:val="53E3A9F1"/>
    <w:rsid w:val="53F481F4"/>
    <w:rsid w:val="53FA58FB"/>
    <w:rsid w:val="542FF155"/>
    <w:rsid w:val="5438F6F9"/>
    <w:rsid w:val="544B76E8"/>
    <w:rsid w:val="547D94E3"/>
    <w:rsid w:val="549B1156"/>
    <w:rsid w:val="54B51BBA"/>
    <w:rsid w:val="54B6D946"/>
    <w:rsid w:val="54BA1D87"/>
    <w:rsid w:val="54C11FEB"/>
    <w:rsid w:val="54CD8BCC"/>
    <w:rsid w:val="54FB1C9E"/>
    <w:rsid w:val="54FD910F"/>
    <w:rsid w:val="5517B6D4"/>
    <w:rsid w:val="552CD795"/>
    <w:rsid w:val="552DB1EB"/>
    <w:rsid w:val="554F40AA"/>
    <w:rsid w:val="5578B4E5"/>
    <w:rsid w:val="557F49AF"/>
    <w:rsid w:val="55986EF9"/>
    <w:rsid w:val="55BCFBE8"/>
    <w:rsid w:val="55D831F0"/>
    <w:rsid w:val="55D95408"/>
    <w:rsid w:val="55F62D82"/>
    <w:rsid w:val="55F6F921"/>
    <w:rsid w:val="562477F3"/>
    <w:rsid w:val="5625E075"/>
    <w:rsid w:val="564277B8"/>
    <w:rsid w:val="56448DDF"/>
    <w:rsid w:val="5654B13C"/>
    <w:rsid w:val="5671EE0C"/>
    <w:rsid w:val="5686B27F"/>
    <w:rsid w:val="5697C440"/>
    <w:rsid w:val="56A3CFB9"/>
    <w:rsid w:val="56E87B4A"/>
    <w:rsid w:val="56EB110B"/>
    <w:rsid w:val="56F0D610"/>
    <w:rsid w:val="56F89DB8"/>
    <w:rsid w:val="57349E0F"/>
    <w:rsid w:val="57360E85"/>
    <w:rsid w:val="57BEDBFB"/>
    <w:rsid w:val="57CFA790"/>
    <w:rsid w:val="5805BE75"/>
    <w:rsid w:val="5813F438"/>
    <w:rsid w:val="58405200"/>
    <w:rsid w:val="586CF467"/>
    <w:rsid w:val="5885AEAC"/>
    <w:rsid w:val="58C279B2"/>
    <w:rsid w:val="58C80055"/>
    <w:rsid w:val="58D1DEE6"/>
    <w:rsid w:val="590A305A"/>
    <w:rsid w:val="590B753D"/>
    <w:rsid w:val="5911A9D9"/>
    <w:rsid w:val="591299AF"/>
    <w:rsid w:val="592C937E"/>
    <w:rsid w:val="59435F00"/>
    <w:rsid w:val="596114D0"/>
    <w:rsid w:val="5965277D"/>
    <w:rsid w:val="5970BD65"/>
    <w:rsid w:val="59723B70"/>
    <w:rsid w:val="59797ED1"/>
    <w:rsid w:val="59A2C659"/>
    <w:rsid w:val="59B084EB"/>
    <w:rsid w:val="59C6214E"/>
    <w:rsid w:val="59EABE52"/>
    <w:rsid w:val="59EB2401"/>
    <w:rsid w:val="59EE9F2F"/>
    <w:rsid w:val="5A0E15E4"/>
    <w:rsid w:val="5A21F1E1"/>
    <w:rsid w:val="5A2FBA8A"/>
    <w:rsid w:val="5A3112C0"/>
    <w:rsid w:val="5A3E8606"/>
    <w:rsid w:val="5A3EBC0F"/>
    <w:rsid w:val="5A4E8843"/>
    <w:rsid w:val="5A52FDED"/>
    <w:rsid w:val="5A6A8709"/>
    <w:rsid w:val="5A6C9EB6"/>
    <w:rsid w:val="5A916C6E"/>
    <w:rsid w:val="5A9B5FEE"/>
    <w:rsid w:val="5AB2A7F5"/>
    <w:rsid w:val="5ACA3908"/>
    <w:rsid w:val="5AD1772A"/>
    <w:rsid w:val="5AD1C49C"/>
    <w:rsid w:val="5AD8AA73"/>
    <w:rsid w:val="5AF1FF3F"/>
    <w:rsid w:val="5AFCECF1"/>
    <w:rsid w:val="5B0AD89C"/>
    <w:rsid w:val="5B1E1A38"/>
    <w:rsid w:val="5B1EE3E1"/>
    <w:rsid w:val="5B49C84B"/>
    <w:rsid w:val="5B4E5BF7"/>
    <w:rsid w:val="5B7A9DDF"/>
    <w:rsid w:val="5B8D2816"/>
    <w:rsid w:val="5B973518"/>
    <w:rsid w:val="5BC84F69"/>
    <w:rsid w:val="5BD59379"/>
    <w:rsid w:val="5BDCC1ED"/>
    <w:rsid w:val="5BE670C0"/>
    <w:rsid w:val="5BEC2A69"/>
    <w:rsid w:val="5BF916AF"/>
    <w:rsid w:val="5BFA1A74"/>
    <w:rsid w:val="5C16C12A"/>
    <w:rsid w:val="5C35FB71"/>
    <w:rsid w:val="5C4E1EB2"/>
    <w:rsid w:val="5C5CAC15"/>
    <w:rsid w:val="5C6241F4"/>
    <w:rsid w:val="5C6A32F9"/>
    <w:rsid w:val="5C993CE2"/>
    <w:rsid w:val="5CA1717F"/>
    <w:rsid w:val="5CA908E3"/>
    <w:rsid w:val="5CB62272"/>
    <w:rsid w:val="5CC18B94"/>
    <w:rsid w:val="5CCD150F"/>
    <w:rsid w:val="5CDE4E2A"/>
    <w:rsid w:val="5CEBE81E"/>
    <w:rsid w:val="5CFAB960"/>
    <w:rsid w:val="5D08F1B9"/>
    <w:rsid w:val="5D13C323"/>
    <w:rsid w:val="5D553CC0"/>
    <w:rsid w:val="5D6AD469"/>
    <w:rsid w:val="5D6DFAF6"/>
    <w:rsid w:val="5D7163DA"/>
    <w:rsid w:val="5D97BB1F"/>
    <w:rsid w:val="5DB2918B"/>
    <w:rsid w:val="5DCE2393"/>
    <w:rsid w:val="5DFA39BC"/>
    <w:rsid w:val="5DFD88D8"/>
    <w:rsid w:val="5E055555"/>
    <w:rsid w:val="5E088764"/>
    <w:rsid w:val="5E0A6CB7"/>
    <w:rsid w:val="5E2E9F87"/>
    <w:rsid w:val="5E3EE914"/>
    <w:rsid w:val="5E650BD6"/>
    <w:rsid w:val="5E7A2278"/>
    <w:rsid w:val="5E7D0678"/>
    <w:rsid w:val="5E7EC1AE"/>
    <w:rsid w:val="5E989D96"/>
    <w:rsid w:val="5EA57B0B"/>
    <w:rsid w:val="5EB1F156"/>
    <w:rsid w:val="5EDD0371"/>
    <w:rsid w:val="5EE2A3ED"/>
    <w:rsid w:val="5EF0989B"/>
    <w:rsid w:val="5EFA2912"/>
    <w:rsid w:val="5F0FA762"/>
    <w:rsid w:val="5F0FB4DD"/>
    <w:rsid w:val="5F1128B0"/>
    <w:rsid w:val="5F3CC189"/>
    <w:rsid w:val="5F4E61EC"/>
    <w:rsid w:val="5F5A0535"/>
    <w:rsid w:val="5F8599F9"/>
    <w:rsid w:val="5F89B4F9"/>
    <w:rsid w:val="5FC05BBA"/>
    <w:rsid w:val="5FEEEB1B"/>
    <w:rsid w:val="60030E40"/>
    <w:rsid w:val="603BB300"/>
    <w:rsid w:val="604B2698"/>
    <w:rsid w:val="608375DB"/>
    <w:rsid w:val="608DD1B5"/>
    <w:rsid w:val="60B5540B"/>
    <w:rsid w:val="60CD8B97"/>
    <w:rsid w:val="60D9F166"/>
    <w:rsid w:val="60DB9A6D"/>
    <w:rsid w:val="60DEDBD5"/>
    <w:rsid w:val="60F2403A"/>
    <w:rsid w:val="60F7E282"/>
    <w:rsid w:val="61028EC0"/>
    <w:rsid w:val="61216A5A"/>
    <w:rsid w:val="612529C8"/>
    <w:rsid w:val="612BDE10"/>
    <w:rsid w:val="61302289"/>
    <w:rsid w:val="6148B16A"/>
    <w:rsid w:val="6172EC49"/>
    <w:rsid w:val="61883FF4"/>
    <w:rsid w:val="619AE036"/>
    <w:rsid w:val="61C442E7"/>
    <w:rsid w:val="61CBF5E5"/>
    <w:rsid w:val="61DE15A7"/>
    <w:rsid w:val="61FAB325"/>
    <w:rsid w:val="6204EAA8"/>
    <w:rsid w:val="6210D93E"/>
    <w:rsid w:val="6219B4A7"/>
    <w:rsid w:val="623082F4"/>
    <w:rsid w:val="623F44B3"/>
    <w:rsid w:val="6249B2A0"/>
    <w:rsid w:val="62587513"/>
    <w:rsid w:val="626DDE8B"/>
    <w:rsid w:val="6271497E"/>
    <w:rsid w:val="62806199"/>
    <w:rsid w:val="62994C99"/>
    <w:rsid w:val="62998EB7"/>
    <w:rsid w:val="62A32C11"/>
    <w:rsid w:val="62C14BAD"/>
    <w:rsid w:val="62CE4C60"/>
    <w:rsid w:val="62D7A8C6"/>
    <w:rsid w:val="62D84948"/>
    <w:rsid w:val="62F3A1CA"/>
    <w:rsid w:val="6309DEB4"/>
    <w:rsid w:val="631E17BD"/>
    <w:rsid w:val="632D7AD2"/>
    <w:rsid w:val="633AAF02"/>
    <w:rsid w:val="633EFF5B"/>
    <w:rsid w:val="635BDAE8"/>
    <w:rsid w:val="63654B65"/>
    <w:rsid w:val="636F85E4"/>
    <w:rsid w:val="638EDCF7"/>
    <w:rsid w:val="63A5C1BC"/>
    <w:rsid w:val="63A8FD86"/>
    <w:rsid w:val="63AB6134"/>
    <w:rsid w:val="63C7FF9F"/>
    <w:rsid w:val="63E99288"/>
    <w:rsid w:val="63F0C2E6"/>
    <w:rsid w:val="6411AC6B"/>
    <w:rsid w:val="642BA669"/>
    <w:rsid w:val="643D6B92"/>
    <w:rsid w:val="64609C09"/>
    <w:rsid w:val="6493DAC1"/>
    <w:rsid w:val="64A8B9CC"/>
    <w:rsid w:val="6514C806"/>
    <w:rsid w:val="651D8893"/>
    <w:rsid w:val="652EA727"/>
    <w:rsid w:val="653253E7"/>
    <w:rsid w:val="65347B49"/>
    <w:rsid w:val="655AF7E3"/>
    <w:rsid w:val="655E1097"/>
    <w:rsid w:val="6566A51D"/>
    <w:rsid w:val="656F65D4"/>
    <w:rsid w:val="6570D4DB"/>
    <w:rsid w:val="658DDE63"/>
    <w:rsid w:val="65BA2D94"/>
    <w:rsid w:val="65C40444"/>
    <w:rsid w:val="65CD1310"/>
    <w:rsid w:val="65DE1295"/>
    <w:rsid w:val="65FC96E8"/>
    <w:rsid w:val="66172B0B"/>
    <w:rsid w:val="6618F904"/>
    <w:rsid w:val="661E5B69"/>
    <w:rsid w:val="66377112"/>
    <w:rsid w:val="664E9F93"/>
    <w:rsid w:val="667EA06D"/>
    <w:rsid w:val="66AD70ED"/>
    <w:rsid w:val="66B35056"/>
    <w:rsid w:val="66C7D6F6"/>
    <w:rsid w:val="66D18AF7"/>
    <w:rsid w:val="66D84EC7"/>
    <w:rsid w:val="66DC0B79"/>
    <w:rsid w:val="66EE2FA6"/>
    <w:rsid w:val="66F1E57F"/>
    <w:rsid w:val="6701BD85"/>
    <w:rsid w:val="6703D8D6"/>
    <w:rsid w:val="6712A69D"/>
    <w:rsid w:val="6752AF5F"/>
    <w:rsid w:val="676230C1"/>
    <w:rsid w:val="677B4F4F"/>
    <w:rsid w:val="677B9E81"/>
    <w:rsid w:val="677D5979"/>
    <w:rsid w:val="67B0F2ED"/>
    <w:rsid w:val="67B4B041"/>
    <w:rsid w:val="681762B7"/>
    <w:rsid w:val="682E37F3"/>
    <w:rsid w:val="684E53CE"/>
    <w:rsid w:val="68750F93"/>
    <w:rsid w:val="689BB86A"/>
    <w:rsid w:val="68AE0657"/>
    <w:rsid w:val="68D3345E"/>
    <w:rsid w:val="68E276F7"/>
    <w:rsid w:val="68EBD9DF"/>
    <w:rsid w:val="693D8803"/>
    <w:rsid w:val="69445E1C"/>
    <w:rsid w:val="6970E2E2"/>
    <w:rsid w:val="697249E5"/>
    <w:rsid w:val="69770E22"/>
    <w:rsid w:val="69A7AF4C"/>
    <w:rsid w:val="69B2EF5B"/>
    <w:rsid w:val="69BF3621"/>
    <w:rsid w:val="69CABCB7"/>
    <w:rsid w:val="69D32728"/>
    <w:rsid w:val="69E9284D"/>
    <w:rsid w:val="6A0D0CDD"/>
    <w:rsid w:val="6A2B8EC5"/>
    <w:rsid w:val="6A2C008E"/>
    <w:rsid w:val="6A2DEAE0"/>
    <w:rsid w:val="6A5396D0"/>
    <w:rsid w:val="6A53C48C"/>
    <w:rsid w:val="6A5A2D7B"/>
    <w:rsid w:val="6A5FC912"/>
    <w:rsid w:val="6A724B21"/>
    <w:rsid w:val="6A7BCC68"/>
    <w:rsid w:val="6A90AFE9"/>
    <w:rsid w:val="6B0D10BE"/>
    <w:rsid w:val="6B1F645A"/>
    <w:rsid w:val="6B427BAE"/>
    <w:rsid w:val="6B4C6172"/>
    <w:rsid w:val="6B6F8F5B"/>
    <w:rsid w:val="6B837406"/>
    <w:rsid w:val="6B9AE70E"/>
    <w:rsid w:val="6B9C6E69"/>
    <w:rsid w:val="6BB962DE"/>
    <w:rsid w:val="6BD493A5"/>
    <w:rsid w:val="6BEF8488"/>
    <w:rsid w:val="6C54A9B2"/>
    <w:rsid w:val="6C55E67D"/>
    <w:rsid w:val="6C678AB6"/>
    <w:rsid w:val="6C6D327C"/>
    <w:rsid w:val="6C89B84E"/>
    <w:rsid w:val="6C8A9E9E"/>
    <w:rsid w:val="6C9612B4"/>
    <w:rsid w:val="6CB23A03"/>
    <w:rsid w:val="6CB4A6DE"/>
    <w:rsid w:val="6CB67690"/>
    <w:rsid w:val="6CBC1BDA"/>
    <w:rsid w:val="6CD14D1F"/>
    <w:rsid w:val="6CE08237"/>
    <w:rsid w:val="6CE76EA1"/>
    <w:rsid w:val="6CF8786B"/>
    <w:rsid w:val="6CFC1D23"/>
    <w:rsid w:val="6D0F8D77"/>
    <w:rsid w:val="6D36B76F"/>
    <w:rsid w:val="6D3D67E2"/>
    <w:rsid w:val="6D7BFA5B"/>
    <w:rsid w:val="6D8E9BC2"/>
    <w:rsid w:val="6DC53F79"/>
    <w:rsid w:val="6E194253"/>
    <w:rsid w:val="6E1E17A9"/>
    <w:rsid w:val="6E2594D9"/>
    <w:rsid w:val="6E57DB3D"/>
    <w:rsid w:val="6E637960"/>
    <w:rsid w:val="6E6D3434"/>
    <w:rsid w:val="6E80D3CC"/>
    <w:rsid w:val="6E8F1C58"/>
    <w:rsid w:val="6EC16CB0"/>
    <w:rsid w:val="6EE5D78B"/>
    <w:rsid w:val="6EE62679"/>
    <w:rsid w:val="6EEBC2CF"/>
    <w:rsid w:val="6F632074"/>
    <w:rsid w:val="6F745EE2"/>
    <w:rsid w:val="6F87B43E"/>
    <w:rsid w:val="6F8CE044"/>
    <w:rsid w:val="6FA18943"/>
    <w:rsid w:val="6FBDF122"/>
    <w:rsid w:val="7007A8C4"/>
    <w:rsid w:val="7016F4A0"/>
    <w:rsid w:val="703F204C"/>
    <w:rsid w:val="705F5CBC"/>
    <w:rsid w:val="7067AD25"/>
    <w:rsid w:val="70B60253"/>
    <w:rsid w:val="70CDBEEE"/>
    <w:rsid w:val="70D01D6A"/>
    <w:rsid w:val="70D1F6D1"/>
    <w:rsid w:val="70E822C3"/>
    <w:rsid w:val="70F1E5A5"/>
    <w:rsid w:val="71169B73"/>
    <w:rsid w:val="71284B8E"/>
    <w:rsid w:val="713150DB"/>
    <w:rsid w:val="714BC77E"/>
    <w:rsid w:val="71662229"/>
    <w:rsid w:val="717B477A"/>
    <w:rsid w:val="717ED2AB"/>
    <w:rsid w:val="71ABDFDB"/>
    <w:rsid w:val="71DAF0AD"/>
    <w:rsid w:val="71F24503"/>
    <w:rsid w:val="71FB6746"/>
    <w:rsid w:val="71FC6120"/>
    <w:rsid w:val="720972B2"/>
    <w:rsid w:val="7212B7EC"/>
    <w:rsid w:val="72134668"/>
    <w:rsid w:val="722A1228"/>
    <w:rsid w:val="722B6DBD"/>
    <w:rsid w:val="7258D269"/>
    <w:rsid w:val="725B0B2B"/>
    <w:rsid w:val="727FBB10"/>
    <w:rsid w:val="72B645D9"/>
    <w:rsid w:val="72C60293"/>
    <w:rsid w:val="72F46E87"/>
    <w:rsid w:val="73302190"/>
    <w:rsid w:val="73322A79"/>
    <w:rsid w:val="7383A17A"/>
    <w:rsid w:val="7396448D"/>
    <w:rsid w:val="7398098D"/>
    <w:rsid w:val="73B9BA77"/>
    <w:rsid w:val="73C72178"/>
    <w:rsid w:val="73DE94CF"/>
    <w:rsid w:val="73E5EF77"/>
    <w:rsid w:val="73EB6813"/>
    <w:rsid w:val="73FC6651"/>
    <w:rsid w:val="7433495D"/>
    <w:rsid w:val="74445247"/>
    <w:rsid w:val="744F49A4"/>
    <w:rsid w:val="745FEC50"/>
    <w:rsid w:val="7467ED6C"/>
    <w:rsid w:val="747F60E3"/>
    <w:rsid w:val="749F6522"/>
    <w:rsid w:val="74B31FD5"/>
    <w:rsid w:val="74C633FE"/>
    <w:rsid w:val="7500F10C"/>
    <w:rsid w:val="75990D91"/>
    <w:rsid w:val="759C29FA"/>
    <w:rsid w:val="75D6A46F"/>
    <w:rsid w:val="75D9CD39"/>
    <w:rsid w:val="75F9F83A"/>
    <w:rsid w:val="760B4C02"/>
    <w:rsid w:val="7620CE5B"/>
    <w:rsid w:val="766416E5"/>
    <w:rsid w:val="76717A60"/>
    <w:rsid w:val="7680BCF9"/>
    <w:rsid w:val="76DFD7DF"/>
    <w:rsid w:val="76E43529"/>
    <w:rsid w:val="7707AC63"/>
    <w:rsid w:val="7714F3B0"/>
    <w:rsid w:val="77157500"/>
    <w:rsid w:val="771C577A"/>
    <w:rsid w:val="772673C0"/>
    <w:rsid w:val="773D907C"/>
    <w:rsid w:val="7740A989"/>
    <w:rsid w:val="77444E17"/>
    <w:rsid w:val="775C3CEC"/>
    <w:rsid w:val="7763E25F"/>
    <w:rsid w:val="77743FD6"/>
    <w:rsid w:val="779F74B4"/>
    <w:rsid w:val="77A0AC57"/>
    <w:rsid w:val="77B529C3"/>
    <w:rsid w:val="77D80B05"/>
    <w:rsid w:val="7815DCE2"/>
    <w:rsid w:val="78322A0C"/>
    <w:rsid w:val="7840B558"/>
    <w:rsid w:val="7852401E"/>
    <w:rsid w:val="786ED6AB"/>
    <w:rsid w:val="787AB601"/>
    <w:rsid w:val="78D4844A"/>
    <w:rsid w:val="78D99477"/>
    <w:rsid w:val="78E5FFF9"/>
    <w:rsid w:val="78F99065"/>
    <w:rsid w:val="79114D23"/>
    <w:rsid w:val="792174F3"/>
    <w:rsid w:val="79558730"/>
    <w:rsid w:val="7964EA8C"/>
    <w:rsid w:val="79856966"/>
    <w:rsid w:val="79952537"/>
    <w:rsid w:val="79AA4880"/>
    <w:rsid w:val="79D2B5BB"/>
    <w:rsid w:val="79E60292"/>
    <w:rsid w:val="79ED16A5"/>
    <w:rsid w:val="79FC5954"/>
    <w:rsid w:val="7A0E2B04"/>
    <w:rsid w:val="7A10DD63"/>
    <w:rsid w:val="7A43BC3C"/>
    <w:rsid w:val="7A50A323"/>
    <w:rsid w:val="7A66128C"/>
    <w:rsid w:val="7A68937F"/>
    <w:rsid w:val="7A84E316"/>
    <w:rsid w:val="7A9A97F2"/>
    <w:rsid w:val="7A9E0B73"/>
    <w:rsid w:val="7AA42A4A"/>
    <w:rsid w:val="7AA5E983"/>
    <w:rsid w:val="7AB19609"/>
    <w:rsid w:val="7AB71189"/>
    <w:rsid w:val="7AD6472C"/>
    <w:rsid w:val="7AEC9C4E"/>
    <w:rsid w:val="7AEDEEDD"/>
    <w:rsid w:val="7AFA97BF"/>
    <w:rsid w:val="7B2EEC18"/>
    <w:rsid w:val="7B4E10D3"/>
    <w:rsid w:val="7B596BE7"/>
    <w:rsid w:val="7B9F8CA6"/>
    <w:rsid w:val="7BA8B4EA"/>
    <w:rsid w:val="7BBFA6BB"/>
    <w:rsid w:val="7BC65FF3"/>
    <w:rsid w:val="7BC97B24"/>
    <w:rsid w:val="7C26CFFD"/>
    <w:rsid w:val="7C33909C"/>
    <w:rsid w:val="7C3D3AD3"/>
    <w:rsid w:val="7C3DCD75"/>
    <w:rsid w:val="7C3F0AFB"/>
    <w:rsid w:val="7C48BD2C"/>
    <w:rsid w:val="7C5949C8"/>
    <w:rsid w:val="7C75C257"/>
    <w:rsid w:val="7CA4FD13"/>
    <w:rsid w:val="7CA7B9EB"/>
    <w:rsid w:val="7CC6996B"/>
    <w:rsid w:val="7D5356D0"/>
    <w:rsid w:val="7D5B771C"/>
    <w:rsid w:val="7D61E049"/>
    <w:rsid w:val="7D6276C6"/>
    <w:rsid w:val="7D6E03BE"/>
    <w:rsid w:val="7D778E7B"/>
    <w:rsid w:val="7D84B96D"/>
    <w:rsid w:val="7DB0F792"/>
    <w:rsid w:val="7DCEE33B"/>
    <w:rsid w:val="7DD5F691"/>
    <w:rsid w:val="7DE29B86"/>
    <w:rsid w:val="7DE7FF48"/>
    <w:rsid w:val="7DF0C55A"/>
    <w:rsid w:val="7E545FB0"/>
    <w:rsid w:val="7E6792E4"/>
    <w:rsid w:val="7E72FEDB"/>
    <w:rsid w:val="7E7B0864"/>
    <w:rsid w:val="7E82FD5F"/>
    <w:rsid w:val="7E8DD4BB"/>
    <w:rsid w:val="7ECA7903"/>
    <w:rsid w:val="7F2F4E0C"/>
    <w:rsid w:val="7F2F7A04"/>
    <w:rsid w:val="7F3142B1"/>
    <w:rsid w:val="7F3BC9D2"/>
    <w:rsid w:val="7F54F7AC"/>
    <w:rsid w:val="7F67D858"/>
    <w:rsid w:val="7F68C6CA"/>
    <w:rsid w:val="7F6E92D1"/>
    <w:rsid w:val="7F88C1E5"/>
    <w:rsid w:val="7FC727A3"/>
    <w:rsid w:val="7FD52499"/>
    <w:rsid w:val="7FE276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154D"/>
  <w15:docId w15:val="{60090BEF-3E91-4A4D-8400-67CD7D4B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99" w:hanging="10"/>
      <w:jc w:val="center"/>
      <w:outlineLvl w:val="0"/>
    </w:pPr>
    <w:rPr>
      <w:rFonts w:ascii="Arial" w:eastAsia="Arial" w:hAnsi="Arial" w:cs="Arial"/>
      <w:b/>
      <w:color w:val="000000"/>
      <w:sz w:val="18"/>
    </w:rPr>
  </w:style>
  <w:style w:type="paragraph" w:styleId="Heading2">
    <w:name w:val="heading 2"/>
    <w:next w:val="Normal"/>
    <w:link w:val="Heading2Char"/>
    <w:uiPriority w:val="9"/>
    <w:unhideWhenUsed/>
    <w:qFormat/>
    <w:pPr>
      <w:keepNext/>
      <w:keepLines/>
      <w:spacing w:after="215"/>
      <w:ind w:left="10" w:right="3"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5"/>
      <w:ind w:left="10" w:right="3" w:hanging="10"/>
      <w:jc w:val="center"/>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241"/>
      <w:ind w:left="10" w:right="61"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241"/>
      <w:ind w:left="10" w:right="61"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86"/>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Heading5Char">
    <w:name w:val="Heading 5 Char"/>
    <w:link w:val="Heading5"/>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18"/>
    </w:rPr>
  </w:style>
  <w:style w:type="character" w:customStyle="1" w:styleId="Heading2Char">
    <w:name w:val="Heading 2 Char"/>
    <w:link w:val="Heading2"/>
    <w:rPr>
      <w:rFonts w:ascii="Arial" w:eastAsia="Arial" w:hAnsi="Arial" w:cs="Arial"/>
      <w:b/>
      <w:color w:val="000000"/>
      <w:sz w:val="24"/>
    </w:rPr>
  </w:style>
  <w:style w:type="paragraph" w:styleId="TOC1">
    <w:name w:val="toc 1"/>
    <w:hidden/>
    <w:uiPriority w:val="39"/>
    <w:pPr>
      <w:spacing w:after="106"/>
      <w:ind w:left="25" w:right="23" w:hanging="10"/>
    </w:pPr>
    <w:rPr>
      <w:rFonts w:ascii="Arial" w:eastAsia="Arial" w:hAnsi="Arial" w:cs="Arial"/>
      <w:color w:val="000000"/>
      <w:sz w:val="24"/>
    </w:rPr>
  </w:style>
  <w:style w:type="paragraph" w:styleId="TOC2">
    <w:name w:val="toc 2"/>
    <w:hidden/>
    <w:uiPriority w:val="39"/>
    <w:pPr>
      <w:ind w:left="25" w:right="23" w:hanging="10"/>
    </w:pPr>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7CA3"/>
    <w:pPr>
      <w:ind w:left="720"/>
      <w:contextualSpacing/>
    </w:pPr>
  </w:style>
  <w:style w:type="character" w:styleId="CommentReference">
    <w:name w:val="annotation reference"/>
    <w:basedOn w:val="DefaultParagraphFont"/>
    <w:uiPriority w:val="99"/>
    <w:semiHidden/>
    <w:unhideWhenUsed/>
    <w:rsid w:val="005A728A"/>
    <w:rPr>
      <w:sz w:val="16"/>
      <w:szCs w:val="16"/>
    </w:rPr>
  </w:style>
  <w:style w:type="paragraph" w:styleId="CommentText">
    <w:name w:val="annotation text"/>
    <w:basedOn w:val="Normal"/>
    <w:link w:val="CommentTextChar"/>
    <w:uiPriority w:val="99"/>
    <w:semiHidden/>
    <w:unhideWhenUsed/>
    <w:rsid w:val="005A728A"/>
    <w:pPr>
      <w:spacing w:line="240" w:lineRule="auto"/>
    </w:pPr>
    <w:rPr>
      <w:sz w:val="20"/>
      <w:szCs w:val="20"/>
    </w:rPr>
  </w:style>
  <w:style w:type="character" w:customStyle="1" w:styleId="CommentTextChar">
    <w:name w:val="Comment Text Char"/>
    <w:basedOn w:val="DefaultParagraphFont"/>
    <w:link w:val="CommentText"/>
    <w:uiPriority w:val="99"/>
    <w:semiHidden/>
    <w:rsid w:val="005A728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A728A"/>
    <w:rPr>
      <w:b/>
      <w:bCs/>
    </w:rPr>
  </w:style>
  <w:style w:type="character" w:customStyle="1" w:styleId="CommentSubjectChar">
    <w:name w:val="Comment Subject Char"/>
    <w:basedOn w:val="CommentTextChar"/>
    <w:link w:val="CommentSubject"/>
    <w:uiPriority w:val="99"/>
    <w:semiHidden/>
    <w:rsid w:val="005A728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243F2E"/>
    <w:rPr>
      <w:color w:val="0563C1" w:themeColor="hyperlink"/>
      <w:u w:val="single"/>
    </w:rPr>
  </w:style>
  <w:style w:type="paragraph" w:customStyle="1" w:styleId="Default">
    <w:name w:val="Default"/>
    <w:rsid w:val="00243F2E"/>
    <w:pPr>
      <w:autoSpaceDE w:val="0"/>
      <w:autoSpaceDN w:val="0"/>
      <w:adjustRightInd w:val="0"/>
      <w:spacing w:after="0" w:line="240" w:lineRule="auto"/>
    </w:pPr>
    <w:rPr>
      <w:rFonts w:ascii="Arial" w:hAnsi="Arial" w:cs="Arial"/>
      <w:color w:val="000000"/>
      <w:sz w:val="24"/>
      <w:szCs w:val="24"/>
    </w:rPr>
  </w:style>
  <w:style w:type="table" w:customStyle="1" w:styleId="TableGrid0">
    <w:name w:val="Table Grid0"/>
    <w:basedOn w:val="TableNormal"/>
    <w:uiPriority w:val="39"/>
    <w:rsid w:val="0024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243F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243F2E"/>
    <w:pPr>
      <w:spacing w:after="0" w:line="240" w:lineRule="auto"/>
    </w:pPr>
    <w:rPr>
      <w:rFonts w:ascii="Times New Roman" w:eastAsia="Times New Roman" w:hAnsi="Times New Roman" w:cs="Times New Roman"/>
      <w:color w:val="000000"/>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LineNumber">
    <w:name w:val="line number"/>
    <w:basedOn w:val="DefaultParagraphFont"/>
    <w:uiPriority w:val="99"/>
    <w:semiHidden/>
    <w:unhideWhenUsed/>
    <w:rsid w:val="00CB7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6749">
      <w:bodyDiv w:val="1"/>
      <w:marLeft w:val="0"/>
      <w:marRight w:val="0"/>
      <w:marTop w:val="0"/>
      <w:marBottom w:val="0"/>
      <w:divBdr>
        <w:top w:val="none" w:sz="0" w:space="0" w:color="auto"/>
        <w:left w:val="none" w:sz="0" w:space="0" w:color="auto"/>
        <w:bottom w:val="none" w:sz="0" w:space="0" w:color="auto"/>
        <w:right w:val="none" w:sz="0" w:space="0" w:color="auto"/>
      </w:divBdr>
    </w:div>
    <w:div w:id="1018386048">
      <w:bodyDiv w:val="1"/>
      <w:marLeft w:val="0"/>
      <w:marRight w:val="0"/>
      <w:marTop w:val="0"/>
      <w:marBottom w:val="0"/>
      <w:divBdr>
        <w:top w:val="none" w:sz="0" w:space="0" w:color="auto"/>
        <w:left w:val="none" w:sz="0" w:space="0" w:color="auto"/>
        <w:bottom w:val="none" w:sz="0" w:space="0" w:color="auto"/>
        <w:right w:val="none" w:sz="0" w:space="0" w:color="auto"/>
      </w:divBdr>
    </w:div>
    <w:div w:id="1272592519">
      <w:bodyDiv w:val="1"/>
      <w:marLeft w:val="0"/>
      <w:marRight w:val="0"/>
      <w:marTop w:val="0"/>
      <w:marBottom w:val="0"/>
      <w:divBdr>
        <w:top w:val="none" w:sz="0" w:space="0" w:color="auto"/>
        <w:left w:val="none" w:sz="0" w:space="0" w:color="auto"/>
        <w:bottom w:val="none" w:sz="0" w:space="0" w:color="auto"/>
        <w:right w:val="none" w:sz="0" w:space="0" w:color="auto"/>
      </w:divBdr>
    </w:div>
    <w:div w:id="1345940509">
      <w:bodyDiv w:val="1"/>
      <w:marLeft w:val="0"/>
      <w:marRight w:val="0"/>
      <w:marTop w:val="0"/>
      <w:marBottom w:val="0"/>
      <w:divBdr>
        <w:top w:val="none" w:sz="0" w:space="0" w:color="auto"/>
        <w:left w:val="none" w:sz="0" w:space="0" w:color="auto"/>
        <w:bottom w:val="none" w:sz="0" w:space="0" w:color="auto"/>
        <w:right w:val="none" w:sz="0" w:space="0" w:color="auto"/>
      </w:divBdr>
    </w:div>
    <w:div w:id="1438255366">
      <w:bodyDiv w:val="1"/>
      <w:marLeft w:val="0"/>
      <w:marRight w:val="0"/>
      <w:marTop w:val="0"/>
      <w:marBottom w:val="0"/>
      <w:divBdr>
        <w:top w:val="none" w:sz="0" w:space="0" w:color="auto"/>
        <w:left w:val="none" w:sz="0" w:space="0" w:color="auto"/>
        <w:bottom w:val="none" w:sz="0" w:space="0" w:color="auto"/>
        <w:right w:val="none" w:sz="0" w:space="0" w:color="auto"/>
      </w:divBdr>
    </w:div>
    <w:div w:id="1905332472">
      <w:bodyDiv w:val="1"/>
      <w:marLeft w:val="0"/>
      <w:marRight w:val="0"/>
      <w:marTop w:val="0"/>
      <w:marBottom w:val="0"/>
      <w:divBdr>
        <w:top w:val="none" w:sz="0" w:space="0" w:color="auto"/>
        <w:left w:val="none" w:sz="0" w:space="0" w:color="auto"/>
        <w:bottom w:val="none" w:sz="0" w:space="0" w:color="auto"/>
        <w:right w:val="none" w:sz="0" w:space="0" w:color="auto"/>
      </w:divBdr>
    </w:div>
    <w:div w:id="211891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02E46A830D1F4DB054D959377CF5BB" ma:contentTypeVersion="2" ma:contentTypeDescription="Create a new document." ma:contentTypeScope="" ma:versionID="357c446392f8fee0909f5ca3553d65ab">
  <xsd:schema xmlns:xsd="http://www.w3.org/2001/XMLSchema" xmlns:xs="http://www.w3.org/2001/XMLSchema" xmlns:p="http://schemas.microsoft.com/office/2006/metadata/properties" xmlns:ns2="60672bee-3b6f-432c-ad0f-29eea0231e29" targetNamespace="http://schemas.microsoft.com/office/2006/metadata/properties" ma:root="true" ma:fieldsID="31ba9d9a620cf79702f56ee2d814ad1c" ns2:_="">
    <xsd:import namespace="60672bee-3b6f-432c-ad0f-29eea0231e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72bee-3b6f-432c-ad0f-29eea0231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3BE65-3B95-4C64-AD09-84E8810090F6}">
  <ds:schemaRefs>
    <ds:schemaRef ds:uri="http://schemas.microsoft.com/sharepoint/v3/contenttype/forms"/>
  </ds:schemaRefs>
</ds:datastoreItem>
</file>

<file path=customXml/itemProps2.xml><?xml version="1.0" encoding="utf-8"?>
<ds:datastoreItem xmlns:ds="http://schemas.openxmlformats.org/officeDocument/2006/customXml" ds:itemID="{FF9E1F59-BEF7-4747-B1D9-4BD7F415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72bee-3b6f-432c-ad0f-29eea0231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1E6D3-98CD-41E6-AC82-DC2A3F54A0C6}">
  <ds:schemaRefs>
    <ds:schemaRef ds:uri="http://schemas.openxmlformats.org/officeDocument/2006/bibliography"/>
  </ds:schemaRefs>
</ds:datastoreItem>
</file>

<file path=customXml/itemProps4.xml><?xml version="1.0" encoding="utf-8"?>
<ds:datastoreItem xmlns:ds="http://schemas.openxmlformats.org/officeDocument/2006/customXml" ds:itemID="{7C59FE10-0215-4D75-A11C-441997DFE3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Foundational PNT Profile: Applying the Cybersecurity Framework for the Responsible Use of Positioning, Navigation, and Timing (PNT) Services</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PNT Profile: Applying the Cybersecurity Framework for the Responsible Use of Positioning, Navigation, and Timing (PNT) Services</dc:title>
  <dc:subject>The national and economic security of the United States (US) is dependent upon the reliable functioning of the nation’s critical infrastructure. Positioning, Navigation, and Timing (PNT) services are widely deployed throughout this infrastructure. In a government wide effort to mitigate the potential impacts of a PNT disruption or manipulation, Executive Order (EO) 13905, Strengthening National Resilience Through Responsible Use of Positioning, Navigation and Timing Services was issued on February 12, 2020. The National Institute of Standards and Technology (NIST) as part of the Department of Commerce (DoC), produced this voluntary PNT Profile in response to Sec.4 Implementation (a), as detailed in the EO. The PNT Profile was created by using the NIST Cybersecurity Framework and can be used as part of a risk management program to help organizations manage risks to systems, networks, and assets that use PNT services. The PNT Profile is intended to be broadly applicable and can serve as a foundation for the development of sector-specific guidance. This PNT Profile provides a flexible framework for users of PNT to manage risks when forming and using PNT signals and data, which are susceptible to disruptions and manipulations that can be natural, manufactured, intentional, or unintentional.</dc:subject>
  <dc:creator>Michael Bartock;Joseph Brule;Ya-Shian Li-Baboud;Suzanne Lightman;James McCarthy;Karen Reczek;Doug Northrip;Arthur Scholz;Theresa Suloway</dc:creator>
  <cp:keywords>critical infrastructure; Cybersecurity Framework; Executive Order; GPS; GNSS; navigation; PNT; positioning; risk management; timing</cp:keywords>
  <cp:lastModifiedBy>Michael Roza</cp:lastModifiedBy>
  <cp:revision>2</cp:revision>
  <dcterms:created xsi:type="dcterms:W3CDTF">2021-09-18T06:30:00Z</dcterms:created>
  <dcterms:modified xsi:type="dcterms:W3CDTF">2021-09-18T06:30:00Z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0x0101005E02E46A830D1F4DB054D959377CF5BB</vt:lpwstr>
  </property>
</Properties>
</file>